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83B7B" w14:textId="58B10B53" w:rsidR="00DD04B8" w:rsidRPr="006F1064" w:rsidRDefault="006131F6">
      <w:pPr>
        <w:rPr>
          <w:rFonts w:ascii="Georgia" w:hAnsi="Georgia"/>
          <w:b/>
          <w:bCs/>
          <w:sz w:val="28"/>
          <w:szCs w:val="28"/>
        </w:rPr>
      </w:pPr>
      <w:r>
        <w:rPr>
          <w:rFonts w:ascii="Georgia" w:hAnsi="Georgia"/>
          <w:b/>
          <w:bCs/>
          <w:sz w:val="28"/>
          <w:szCs w:val="28"/>
        </w:rPr>
        <w:t>RSA Submission to the House of Lords Constitutional Committee on the Future Governance of the United Kingdom</w:t>
      </w:r>
    </w:p>
    <w:p w14:paraId="4075F42A" w14:textId="77777777" w:rsidR="006131F6" w:rsidRDefault="006131F6" w:rsidP="006131F6">
      <w:pPr>
        <w:rPr>
          <w:rFonts w:ascii="Gill Sans" w:hAnsi="Gill Sans" w:cs="Gill Sans"/>
          <w:sz w:val="20"/>
          <w:szCs w:val="20"/>
        </w:rPr>
      </w:pPr>
    </w:p>
    <w:p w14:paraId="5A10002F" w14:textId="1B0C4313" w:rsidR="006131F6" w:rsidRPr="006131F6" w:rsidRDefault="006131F6" w:rsidP="006131F6">
      <w:pPr>
        <w:rPr>
          <w:rFonts w:ascii="Gill Sans MT" w:hAnsi="Gill Sans MT"/>
        </w:rPr>
      </w:pPr>
      <w:r w:rsidRPr="006131F6">
        <w:rPr>
          <w:rFonts w:ascii="Gill Sans MT" w:hAnsi="Gill Sans MT"/>
        </w:rPr>
        <w:t>The RSA welcomes the opportunity to respond to this timely and essential inquiry. We believe, following examples set elsewhere, including in Iceland, Estonia and Canada, deliberative methodologies can support and enhance processes of constitutional change. In what follows, we set out the proven benefits of citizens’ assemblies in the hope that this will encourage the committee to find a place in their process to engage citizens through a citizens’ assembly.</w:t>
      </w:r>
    </w:p>
    <w:p w14:paraId="32E3E3CA" w14:textId="77777777" w:rsidR="006131F6" w:rsidRPr="006131F6" w:rsidRDefault="006131F6" w:rsidP="006131F6">
      <w:pPr>
        <w:rPr>
          <w:rFonts w:ascii="Gill Sans MT" w:hAnsi="Gill Sans MT"/>
          <w:b/>
          <w:bCs/>
        </w:rPr>
      </w:pPr>
      <w:r w:rsidRPr="006131F6">
        <w:rPr>
          <w:rFonts w:ascii="Gill Sans MT" w:hAnsi="Gill Sans MT"/>
          <w:b/>
          <w:bCs/>
        </w:rPr>
        <w:t>Background</w:t>
      </w:r>
    </w:p>
    <w:p w14:paraId="6BA6989E" w14:textId="77777777" w:rsidR="006131F6" w:rsidRPr="006131F6" w:rsidRDefault="006131F6" w:rsidP="006131F6">
      <w:pPr>
        <w:rPr>
          <w:rFonts w:ascii="Gill Sans MT" w:hAnsi="Gill Sans MT" w:cs="Arial"/>
          <w:color w:val="000000"/>
        </w:rPr>
      </w:pPr>
      <w:r w:rsidRPr="006131F6">
        <w:rPr>
          <w:rFonts w:ascii="Gill Sans MT" w:hAnsi="Gill Sans MT"/>
        </w:rPr>
        <w:t>2019 RSA-Populus polling showed that less than a quarter of people felt the state of democracy in Britain was healthy and in Northern Ireland this figure fell to just over 10 percent. Democratic ideals still attract support, but democratic practice is regularly derided. As the public grows more disillusioned, it also becomes more disengaged: across</w:t>
      </w:r>
      <w:r w:rsidRPr="006131F6">
        <w:rPr>
          <w:rFonts w:ascii="Gill Sans MT" w:hAnsi="Gill Sans MT" w:cs="Arial"/>
          <w:color w:val="000000"/>
        </w:rPr>
        <w:t xml:space="preserve"> Europe, fewer people vote, </w:t>
      </w:r>
      <w:proofErr w:type="gramStart"/>
      <w:r w:rsidRPr="006131F6">
        <w:rPr>
          <w:rFonts w:ascii="Gill Sans MT" w:hAnsi="Gill Sans MT" w:cs="Arial"/>
          <w:color w:val="000000"/>
        </w:rPr>
        <w:t>join</w:t>
      </w:r>
      <w:proofErr w:type="gramEnd"/>
      <w:r w:rsidRPr="006131F6">
        <w:rPr>
          <w:rFonts w:ascii="Gill Sans MT" w:hAnsi="Gill Sans MT" w:cs="Arial"/>
          <w:color w:val="000000"/>
        </w:rPr>
        <w:t xml:space="preserve"> or work for political parties, or participate in voluntary organisations than in previous decades. This disengagement should of great concern, </w:t>
      </w:r>
      <w:r w:rsidRPr="006131F6">
        <w:rPr>
          <w:rFonts w:ascii="Gill Sans MT" w:hAnsi="Gill Sans MT"/>
        </w:rPr>
        <w:t>especially considering recent RSA research which suggested a baseline of political trust has been an important determinant of social resilience and effective crisis response over the past year</w:t>
      </w:r>
      <w:r w:rsidRPr="006131F6">
        <w:rPr>
          <w:rStyle w:val="FootnoteReference"/>
          <w:rFonts w:ascii="Gill Sans MT" w:hAnsi="Gill Sans MT"/>
        </w:rPr>
        <w:footnoteReference w:id="1"/>
      </w:r>
      <w:r w:rsidRPr="006131F6">
        <w:rPr>
          <w:rFonts w:ascii="Gill Sans MT" w:hAnsi="Gill Sans MT"/>
        </w:rPr>
        <w:t>.</w:t>
      </w:r>
    </w:p>
    <w:p w14:paraId="7139D63D" w14:textId="77777777" w:rsidR="006131F6" w:rsidRPr="006131F6" w:rsidRDefault="006131F6" w:rsidP="006131F6">
      <w:pPr>
        <w:rPr>
          <w:rFonts w:ascii="Gill Sans MT" w:hAnsi="Gill Sans MT"/>
          <w:b/>
        </w:rPr>
      </w:pPr>
      <w:r w:rsidRPr="006131F6">
        <w:rPr>
          <w:rFonts w:ascii="Gill Sans MT" w:hAnsi="Gill Sans MT" w:cs="Arial"/>
          <w:color w:val="000000"/>
        </w:rPr>
        <w:t>However, many proposed methods for democratic and constitutional renewal are technical and seemingly detached from people’s day-to-day experiences. Reforming our electoral system would likely improve the functioning of our democracy in many regards but, as the 2011 UK referendum on the issue clearly demonstrated, it fails to animate the public at large. At the RSA, we believe that deliberative democracy provides a promising and realistic model for reforming our democracy in ways that can rebuild people’s political confidence and trust. Deliberative methods of decision making also provide a ‘gateway’ through which other important democratic reforms – including electoral reforms - can be impartially and thoroughly debated.</w:t>
      </w:r>
    </w:p>
    <w:p w14:paraId="52DCD147" w14:textId="77777777" w:rsidR="006131F6" w:rsidRPr="006131F6" w:rsidRDefault="006131F6" w:rsidP="006131F6">
      <w:pPr>
        <w:rPr>
          <w:rFonts w:ascii="Gill Sans MT" w:hAnsi="Gill Sans MT"/>
          <w:b/>
        </w:rPr>
      </w:pPr>
      <w:r w:rsidRPr="006131F6">
        <w:rPr>
          <w:rFonts w:ascii="Gill Sans MT" w:hAnsi="Gill Sans MT"/>
          <w:b/>
        </w:rPr>
        <w:t>Benefits of deliberative democracy and citizens’ assemblies</w:t>
      </w:r>
    </w:p>
    <w:p w14:paraId="7C557904" w14:textId="77777777" w:rsidR="006131F6" w:rsidRPr="006131F6" w:rsidRDefault="006131F6" w:rsidP="006131F6">
      <w:pPr>
        <w:rPr>
          <w:rFonts w:ascii="Gill Sans MT" w:eastAsia="Times New Roman" w:hAnsi="Gill Sans MT" w:cs="Times New Roman"/>
          <w:bCs/>
          <w:color w:val="000000"/>
          <w:lang w:eastAsia="en-GB"/>
        </w:rPr>
      </w:pPr>
      <w:r w:rsidRPr="006131F6">
        <w:rPr>
          <w:rFonts w:ascii="Gill Sans MT" w:eastAsia="Times New Roman" w:hAnsi="Gill Sans MT" w:cs="Times New Roman"/>
          <w:bCs/>
          <w:color w:val="000000"/>
          <w:lang w:eastAsia="en-GB"/>
        </w:rPr>
        <w:t xml:space="preserve">Deliberative democracy is intended to enrich representative democracy, not replace it. Deliberative democracy does not denote a “zero-sum” competition between static preferences. Rather, it is a theory of the processes through which people form and modify their opinions. Citizens’ assemblies are designed to stimulate a high level of deliberation among a </w:t>
      </w:r>
      <w:proofErr w:type="gramStart"/>
      <w:r w:rsidRPr="006131F6">
        <w:rPr>
          <w:rFonts w:ascii="Gill Sans MT" w:eastAsia="Times New Roman" w:hAnsi="Gill Sans MT" w:cs="Times New Roman"/>
          <w:bCs/>
          <w:color w:val="000000"/>
          <w:lang w:eastAsia="en-GB"/>
        </w:rPr>
        <w:t>randomly-selected</w:t>
      </w:r>
      <w:proofErr w:type="gramEnd"/>
      <w:r w:rsidRPr="006131F6">
        <w:rPr>
          <w:rFonts w:ascii="Gill Sans MT" w:eastAsia="Times New Roman" w:hAnsi="Gill Sans MT" w:cs="Times New Roman"/>
          <w:bCs/>
          <w:color w:val="000000"/>
          <w:lang w:eastAsia="en-GB"/>
        </w:rPr>
        <w:t xml:space="preserve"> ‘mini public’; a group of people ‘mini’ enough to deliberate effectively but still demographically and attitudinally reflective of the population at large.</w:t>
      </w:r>
    </w:p>
    <w:p w14:paraId="761081B1" w14:textId="77777777" w:rsidR="006131F6" w:rsidRPr="006131F6" w:rsidRDefault="006131F6" w:rsidP="006131F6">
      <w:pPr>
        <w:rPr>
          <w:rFonts w:ascii="Gill Sans MT" w:eastAsia="Times New Roman" w:hAnsi="Gill Sans MT" w:cs="Times New Roman"/>
          <w:bCs/>
          <w:color w:val="000000"/>
          <w:lang w:eastAsia="en-GB"/>
        </w:rPr>
      </w:pPr>
      <w:r w:rsidRPr="006131F6">
        <w:rPr>
          <w:rFonts w:ascii="Gill Sans MT" w:eastAsia="Times New Roman" w:hAnsi="Gill Sans MT" w:cs="Times New Roman"/>
          <w:bCs/>
          <w:color w:val="000000"/>
          <w:lang w:eastAsia="en-GB"/>
        </w:rPr>
        <w:t>An expanding body of theoretical and empirical analysis has established a growing body of evidence of the benefits of deliberative democracy and citizens’ assemblies. Broadly speaking, these fall into three categories:</w:t>
      </w:r>
    </w:p>
    <w:p w14:paraId="724C4B39" w14:textId="77777777" w:rsidR="006131F6" w:rsidRPr="006131F6" w:rsidRDefault="006131F6" w:rsidP="006131F6">
      <w:pPr>
        <w:pStyle w:val="ListParagraph"/>
        <w:numPr>
          <w:ilvl w:val="0"/>
          <w:numId w:val="1"/>
        </w:numPr>
        <w:spacing w:line="256" w:lineRule="auto"/>
        <w:rPr>
          <w:rFonts w:ascii="Gill Sans MT" w:eastAsia="Times New Roman" w:hAnsi="Gill Sans MT" w:cs="Times New Roman"/>
          <w:bCs/>
          <w:color w:val="000000"/>
          <w:lang w:eastAsia="en-GB"/>
        </w:rPr>
      </w:pPr>
      <w:r w:rsidRPr="006131F6">
        <w:rPr>
          <w:rFonts w:ascii="Gill Sans MT" w:eastAsia="Times New Roman" w:hAnsi="Gill Sans MT" w:cs="Times New Roman"/>
          <w:bCs/>
          <w:color w:val="000000"/>
          <w:lang w:eastAsia="en-GB"/>
        </w:rPr>
        <w:t>They create ‘better decisions’</w:t>
      </w:r>
    </w:p>
    <w:p w14:paraId="73EEC782" w14:textId="77777777" w:rsidR="006131F6" w:rsidRPr="006131F6" w:rsidRDefault="006131F6" w:rsidP="006131F6">
      <w:pPr>
        <w:ind w:left="360"/>
        <w:rPr>
          <w:rFonts w:ascii="Gill Sans MT" w:eastAsia="Times New Roman" w:hAnsi="Gill Sans MT" w:cs="Times New Roman"/>
          <w:bCs/>
          <w:color w:val="000000"/>
          <w:lang w:eastAsia="en-GB"/>
        </w:rPr>
      </w:pPr>
      <w:r w:rsidRPr="006131F6">
        <w:rPr>
          <w:rFonts w:ascii="Gill Sans MT" w:eastAsia="Times New Roman" w:hAnsi="Gill Sans MT" w:cs="Times New Roman"/>
          <w:bCs/>
          <w:color w:val="000000"/>
          <w:lang w:eastAsia="en-GB"/>
        </w:rPr>
        <w:t xml:space="preserve">Citizens’ assemblies offer an ideal setting for learning, </w:t>
      </w:r>
      <w:proofErr w:type="gramStart"/>
      <w:r w:rsidRPr="006131F6">
        <w:rPr>
          <w:rFonts w:ascii="Gill Sans MT" w:eastAsia="Times New Roman" w:hAnsi="Gill Sans MT" w:cs="Times New Roman"/>
          <w:bCs/>
          <w:color w:val="000000"/>
          <w:lang w:eastAsia="en-GB"/>
        </w:rPr>
        <w:t>deliberation</w:t>
      </w:r>
      <w:proofErr w:type="gramEnd"/>
      <w:r w:rsidRPr="006131F6">
        <w:rPr>
          <w:rFonts w:ascii="Gill Sans MT" w:eastAsia="Times New Roman" w:hAnsi="Gill Sans MT" w:cs="Times New Roman"/>
          <w:bCs/>
          <w:color w:val="000000"/>
          <w:lang w:eastAsia="en-GB"/>
        </w:rPr>
        <w:t xml:space="preserve"> and decision-making. Amidst a declining trust in experts in the UK, citizens’ assemblies provide a bounded space within which citizens and experts can engage in an open and productive way. After hearing presentations from expert ‘witnesses’, assembly participants are able to question and challenge what they have heard. Through extended discussion with their peers they come to understand the complexity </w:t>
      </w:r>
      <w:r w:rsidRPr="006131F6">
        <w:rPr>
          <w:rFonts w:ascii="Gill Sans MT" w:eastAsia="Times New Roman" w:hAnsi="Gill Sans MT" w:cs="Times New Roman"/>
          <w:bCs/>
          <w:color w:val="000000"/>
          <w:lang w:eastAsia="en-GB"/>
        </w:rPr>
        <w:lastRenderedPageBreak/>
        <w:t>of the issue at hand and the trade-offs involved with any decision. The decisions that have come out of these processes in the past have been sensible and nuanced and constructive. They represent public judgement rather than mass opinion.</w:t>
      </w:r>
    </w:p>
    <w:p w14:paraId="2A68C588" w14:textId="77777777" w:rsidR="006131F6" w:rsidRPr="006131F6" w:rsidRDefault="006131F6" w:rsidP="006131F6">
      <w:pPr>
        <w:ind w:left="360"/>
        <w:rPr>
          <w:rFonts w:ascii="Gill Sans MT" w:eastAsia="Times New Roman" w:hAnsi="Gill Sans MT" w:cs="Times New Roman"/>
          <w:bCs/>
          <w:color w:val="000000"/>
          <w:lang w:eastAsia="en-GB"/>
        </w:rPr>
      </w:pPr>
      <w:r w:rsidRPr="006131F6">
        <w:rPr>
          <w:rFonts w:ascii="Gill Sans MT" w:eastAsia="Times New Roman" w:hAnsi="Gill Sans MT" w:cs="Times New Roman"/>
          <w:bCs/>
          <w:color w:val="000000"/>
          <w:lang w:eastAsia="en-GB"/>
        </w:rPr>
        <w:t>Citizens’ assemblies cannot be dominated by powerful interest groups and they are not distorted by electoral pressures. Therefore, sound information, careful thought and constructive debate can take centre stage in these processes.</w:t>
      </w:r>
    </w:p>
    <w:p w14:paraId="106EBD43" w14:textId="77777777" w:rsidR="006131F6" w:rsidRPr="006131F6" w:rsidRDefault="006131F6" w:rsidP="006131F6">
      <w:pPr>
        <w:ind w:left="360"/>
        <w:rPr>
          <w:rFonts w:ascii="Gill Sans MT" w:eastAsia="Times New Roman" w:hAnsi="Gill Sans MT" w:cs="Times New Roman"/>
          <w:bCs/>
          <w:color w:val="000000"/>
          <w:lang w:eastAsia="en-GB"/>
        </w:rPr>
      </w:pPr>
      <w:r w:rsidRPr="006131F6">
        <w:rPr>
          <w:rFonts w:ascii="Gill Sans MT" w:eastAsia="Times New Roman" w:hAnsi="Gill Sans MT" w:cs="Times New Roman"/>
          <w:bCs/>
          <w:color w:val="000000"/>
          <w:lang w:eastAsia="en-GB"/>
        </w:rPr>
        <w:t xml:space="preserve">Citizens’ assemblies create space within which politicians </w:t>
      </w:r>
      <w:proofErr w:type="gramStart"/>
      <w:r w:rsidRPr="006131F6">
        <w:rPr>
          <w:rFonts w:ascii="Gill Sans MT" w:eastAsia="Times New Roman" w:hAnsi="Gill Sans MT" w:cs="Times New Roman"/>
          <w:bCs/>
          <w:color w:val="000000"/>
          <w:lang w:eastAsia="en-GB"/>
        </w:rPr>
        <w:t>are able to</w:t>
      </w:r>
      <w:proofErr w:type="gramEnd"/>
      <w:r w:rsidRPr="006131F6">
        <w:rPr>
          <w:rFonts w:ascii="Gill Sans MT" w:eastAsia="Times New Roman" w:hAnsi="Gill Sans MT" w:cs="Times New Roman"/>
          <w:bCs/>
          <w:color w:val="000000"/>
          <w:lang w:eastAsia="en-GB"/>
        </w:rPr>
        <w:t xml:space="preserve"> act more effectively and with greater legitimacy (for instance, in policy areas stifled by intractable debate or powerful interest groups).</w:t>
      </w:r>
    </w:p>
    <w:p w14:paraId="035F786E" w14:textId="77777777" w:rsidR="006131F6" w:rsidRPr="006131F6" w:rsidRDefault="006131F6" w:rsidP="006131F6">
      <w:pPr>
        <w:pStyle w:val="ListParagraph"/>
        <w:numPr>
          <w:ilvl w:val="0"/>
          <w:numId w:val="1"/>
        </w:numPr>
        <w:spacing w:line="256" w:lineRule="auto"/>
        <w:rPr>
          <w:rFonts w:ascii="Gill Sans MT" w:eastAsia="Times New Roman" w:hAnsi="Gill Sans MT" w:cs="Times New Roman"/>
          <w:bCs/>
          <w:color w:val="000000"/>
          <w:lang w:eastAsia="en-GB"/>
        </w:rPr>
      </w:pPr>
      <w:r w:rsidRPr="006131F6">
        <w:rPr>
          <w:rFonts w:ascii="Gill Sans MT" w:eastAsia="Times New Roman" w:hAnsi="Gill Sans MT" w:cs="Times New Roman"/>
          <w:bCs/>
          <w:color w:val="000000"/>
          <w:lang w:eastAsia="en-GB"/>
        </w:rPr>
        <w:t>They create ‘better citizens’</w:t>
      </w:r>
    </w:p>
    <w:p w14:paraId="009BB336" w14:textId="77777777" w:rsidR="006131F6" w:rsidRPr="006131F6" w:rsidRDefault="006131F6" w:rsidP="006131F6">
      <w:pPr>
        <w:ind w:left="360"/>
        <w:rPr>
          <w:rFonts w:ascii="Gill Sans MT" w:eastAsia="Times New Roman" w:hAnsi="Gill Sans MT" w:cs="Times New Roman"/>
          <w:bCs/>
          <w:color w:val="000000"/>
          <w:lang w:eastAsia="en-GB"/>
        </w:rPr>
      </w:pPr>
      <w:r w:rsidRPr="006131F6">
        <w:rPr>
          <w:rFonts w:ascii="Gill Sans MT" w:eastAsia="Times New Roman" w:hAnsi="Gill Sans MT" w:cs="Times New Roman"/>
          <w:bCs/>
          <w:color w:val="000000"/>
          <w:lang w:eastAsia="en-GB"/>
        </w:rPr>
        <w:t xml:space="preserve">Evidence suggests that through participating in these processes, citizens can gain in knowledge, confidence, tolerance, social </w:t>
      </w:r>
      <w:proofErr w:type="gramStart"/>
      <w:r w:rsidRPr="006131F6">
        <w:rPr>
          <w:rFonts w:ascii="Gill Sans MT" w:eastAsia="Times New Roman" w:hAnsi="Gill Sans MT" w:cs="Times New Roman"/>
          <w:bCs/>
          <w:color w:val="000000"/>
          <w:lang w:eastAsia="en-GB"/>
        </w:rPr>
        <w:t>capital</w:t>
      </w:r>
      <w:proofErr w:type="gramEnd"/>
      <w:r w:rsidRPr="006131F6">
        <w:rPr>
          <w:rFonts w:ascii="Gill Sans MT" w:eastAsia="Times New Roman" w:hAnsi="Gill Sans MT" w:cs="Times New Roman"/>
          <w:bCs/>
          <w:color w:val="000000"/>
          <w:lang w:eastAsia="en-GB"/>
        </w:rPr>
        <w:t xml:space="preserve"> and public spirit. Participants develop their ability to form an argument, justify their positions and sift through complex information. Involvement has also been found to increase people’s trust in the democratic system and their political representatives. Citizens’ assemblies provide a gateway through which citizens might re-engage with politics and their communities more generally. Links have been made between structured deliberation and higher levels of voting and campaigning, and it has been demonstrated that deliberation leads to higher levels of community engagement and voluntary action. When properly publicised, citizens’ assemblies can also positively impact the quality of public discussion and the behaviour of those not directly participating (see Citizens’ Initiative Review example below). In a time of mass discontent and disengagement, citizens’ assemblies are a tried and tested method of re-engaging people.</w:t>
      </w:r>
    </w:p>
    <w:p w14:paraId="7036C846" w14:textId="77777777" w:rsidR="006131F6" w:rsidRPr="006131F6" w:rsidRDefault="006131F6" w:rsidP="006131F6">
      <w:pPr>
        <w:pStyle w:val="ListParagraph"/>
        <w:numPr>
          <w:ilvl w:val="0"/>
          <w:numId w:val="1"/>
        </w:numPr>
        <w:rPr>
          <w:rFonts w:ascii="Gill Sans MT" w:eastAsia="Times New Roman" w:hAnsi="Gill Sans MT" w:cs="Times New Roman"/>
          <w:bCs/>
          <w:color w:val="000000"/>
          <w:lang w:eastAsia="en-GB"/>
        </w:rPr>
      </w:pPr>
      <w:r w:rsidRPr="006131F6">
        <w:rPr>
          <w:rFonts w:ascii="Gill Sans MT" w:eastAsia="Times New Roman" w:hAnsi="Gill Sans MT" w:cs="Times New Roman"/>
          <w:bCs/>
          <w:color w:val="000000"/>
          <w:lang w:eastAsia="en-GB"/>
        </w:rPr>
        <w:t>They can stimulate cultural and structural change within commissioning authorities</w:t>
      </w:r>
    </w:p>
    <w:p w14:paraId="00AE2556" w14:textId="77777777" w:rsidR="006131F6" w:rsidRPr="006131F6" w:rsidRDefault="006131F6" w:rsidP="006131F6">
      <w:pPr>
        <w:ind w:left="360"/>
        <w:rPr>
          <w:rFonts w:ascii="Gill Sans MT" w:eastAsia="Times New Roman" w:hAnsi="Gill Sans MT" w:cs="Times New Roman"/>
          <w:bCs/>
          <w:color w:val="000000"/>
          <w:lang w:eastAsia="en-GB"/>
        </w:rPr>
      </w:pPr>
      <w:r w:rsidRPr="006131F6">
        <w:rPr>
          <w:rFonts w:ascii="Gill Sans MT" w:hAnsi="Gill Sans MT"/>
        </w:rPr>
        <w:t>Citizens’ assemblies can exemplify the value of citizen participation to the commissioning authority. Over time, it could provide the rationale for more comprehensive and participatory local engagement frameworks. By necessitating new approaches to public engagement and communication and encouraging more creative approaches to process design, citizens’ assemblies can leave a long legacy in terms of organisational culture and skills, as suggested by the Innovation in Democracy Programme Case Studies</w:t>
      </w:r>
      <w:r w:rsidRPr="006131F6">
        <w:rPr>
          <w:rStyle w:val="FootnoteReference"/>
          <w:rFonts w:ascii="Gill Sans MT" w:hAnsi="Gill Sans MT"/>
        </w:rPr>
        <w:footnoteReference w:id="2"/>
      </w:r>
      <w:r w:rsidRPr="006131F6">
        <w:rPr>
          <w:rFonts w:ascii="Gill Sans MT" w:hAnsi="Gill Sans MT"/>
        </w:rPr>
        <w:t>. Some local and regional authorities outside of the UK have gone an extra step and successfully embedded public deliberation into their standard decision-making procedures. Recently, Newham London Borough Council became the first local council in the UK to pledge to creating a permanent citizens’ assembly</w:t>
      </w:r>
      <w:r w:rsidRPr="006131F6">
        <w:rPr>
          <w:rStyle w:val="FootnoteReference"/>
          <w:rFonts w:ascii="Gill Sans MT" w:hAnsi="Gill Sans MT"/>
        </w:rPr>
        <w:footnoteReference w:id="3"/>
      </w:r>
      <w:r w:rsidRPr="006131F6">
        <w:rPr>
          <w:rFonts w:ascii="Gill Sans MT" w:hAnsi="Gill Sans MT"/>
        </w:rPr>
        <w:t>.</w:t>
      </w:r>
    </w:p>
    <w:p w14:paraId="33DB15A8" w14:textId="77777777" w:rsidR="006131F6" w:rsidRPr="006131F6" w:rsidRDefault="006131F6" w:rsidP="006131F6">
      <w:pPr>
        <w:rPr>
          <w:rFonts w:ascii="Gill Sans MT" w:eastAsia="Times New Roman" w:hAnsi="Gill Sans MT" w:cs="Times New Roman"/>
          <w:b/>
          <w:color w:val="000000"/>
          <w:lang w:eastAsia="en-GB"/>
        </w:rPr>
      </w:pPr>
      <w:r w:rsidRPr="006131F6">
        <w:rPr>
          <w:rFonts w:ascii="Gill Sans MT" w:eastAsia="Times New Roman" w:hAnsi="Gill Sans MT" w:cs="Times New Roman"/>
          <w:b/>
          <w:color w:val="000000"/>
          <w:lang w:eastAsia="en-GB"/>
        </w:rPr>
        <w:t>Case studies</w:t>
      </w:r>
    </w:p>
    <w:p w14:paraId="76DA9776" w14:textId="26181516" w:rsidR="006131F6" w:rsidRPr="006131F6" w:rsidRDefault="006131F6" w:rsidP="006131F6">
      <w:pPr>
        <w:rPr>
          <w:rFonts w:ascii="Gill Sans MT" w:eastAsia="Times New Roman" w:hAnsi="Gill Sans MT" w:cs="Times New Roman"/>
          <w:bCs/>
          <w:color w:val="000000"/>
          <w:lang w:eastAsia="en-GB"/>
        </w:rPr>
      </w:pPr>
      <w:r w:rsidRPr="006131F6">
        <w:rPr>
          <w:rFonts w:ascii="Gill Sans MT" w:eastAsia="Times New Roman" w:hAnsi="Gill Sans MT" w:cs="Times New Roman"/>
          <w:bCs/>
          <w:color w:val="000000"/>
          <w:lang w:eastAsia="en-GB"/>
        </w:rPr>
        <w:t xml:space="preserve">Below we briefly consider some examples that help to illustrate these </w:t>
      </w:r>
      <w:proofErr w:type="gramStart"/>
      <w:r w:rsidRPr="006131F6">
        <w:rPr>
          <w:rFonts w:ascii="Gill Sans MT" w:eastAsia="Times New Roman" w:hAnsi="Gill Sans MT" w:cs="Times New Roman"/>
          <w:bCs/>
          <w:color w:val="000000"/>
          <w:lang w:eastAsia="en-GB"/>
        </w:rPr>
        <w:t>aforementioned benefit</w:t>
      </w:r>
      <w:r w:rsidR="00704600">
        <w:rPr>
          <w:rFonts w:ascii="Gill Sans MT" w:eastAsia="Times New Roman" w:hAnsi="Gill Sans MT" w:cs="Times New Roman"/>
          <w:bCs/>
          <w:color w:val="000000"/>
          <w:lang w:eastAsia="en-GB"/>
        </w:rPr>
        <w:t>s</w:t>
      </w:r>
      <w:proofErr w:type="gramEnd"/>
      <w:r w:rsidR="00704600">
        <w:rPr>
          <w:rFonts w:ascii="Gill Sans MT" w:eastAsia="Times New Roman" w:hAnsi="Gill Sans MT" w:cs="Times New Roman"/>
          <w:bCs/>
          <w:color w:val="000000"/>
          <w:lang w:eastAsia="en-GB"/>
        </w:rPr>
        <w:t xml:space="preserve">. We have intentionally chosen lesser-known examples of </w:t>
      </w:r>
      <w:r w:rsidR="002C386E">
        <w:rPr>
          <w:rFonts w:ascii="Gill Sans MT" w:eastAsia="Times New Roman" w:hAnsi="Gill Sans MT" w:cs="Times New Roman"/>
          <w:bCs/>
          <w:color w:val="000000"/>
          <w:lang w:eastAsia="en-GB"/>
        </w:rPr>
        <w:t xml:space="preserve">deliberative democracy (at least in the UK context), to show </w:t>
      </w:r>
      <w:r w:rsidR="00BC136C">
        <w:rPr>
          <w:rFonts w:ascii="Gill Sans MT" w:eastAsia="Times New Roman" w:hAnsi="Gill Sans MT" w:cs="Times New Roman"/>
          <w:bCs/>
          <w:color w:val="000000"/>
          <w:lang w:eastAsia="en-GB"/>
        </w:rPr>
        <w:t xml:space="preserve">the benefits of deliberation, </w:t>
      </w:r>
      <w:r w:rsidR="00F76F5A">
        <w:rPr>
          <w:rFonts w:ascii="Gill Sans MT" w:eastAsia="Times New Roman" w:hAnsi="Gill Sans MT" w:cs="Times New Roman"/>
          <w:bCs/>
          <w:color w:val="000000"/>
          <w:lang w:eastAsia="en-GB"/>
        </w:rPr>
        <w:t xml:space="preserve">it’s past application to issues of constitutional reform and the </w:t>
      </w:r>
      <w:r w:rsidR="001555C7">
        <w:rPr>
          <w:rFonts w:ascii="Gill Sans MT" w:eastAsia="Times New Roman" w:hAnsi="Gill Sans MT" w:cs="Times New Roman"/>
          <w:bCs/>
          <w:color w:val="000000"/>
          <w:lang w:eastAsia="en-GB"/>
        </w:rPr>
        <w:t xml:space="preserve">importance of </w:t>
      </w:r>
      <w:r w:rsidR="00890323">
        <w:rPr>
          <w:rFonts w:ascii="Gill Sans MT" w:eastAsia="Times New Roman" w:hAnsi="Gill Sans MT" w:cs="Times New Roman"/>
          <w:bCs/>
          <w:color w:val="000000"/>
          <w:lang w:eastAsia="en-GB"/>
        </w:rPr>
        <w:t>establishing a strong</w:t>
      </w:r>
      <w:r w:rsidR="001555C7">
        <w:rPr>
          <w:rFonts w:ascii="Gill Sans MT" w:eastAsia="Times New Roman" w:hAnsi="Gill Sans MT" w:cs="Times New Roman"/>
          <w:bCs/>
          <w:color w:val="000000"/>
          <w:lang w:eastAsia="en-GB"/>
        </w:rPr>
        <w:t xml:space="preserve"> interface between deliberative forums and more established </w:t>
      </w:r>
      <w:r w:rsidR="00890323">
        <w:rPr>
          <w:rFonts w:ascii="Gill Sans MT" w:eastAsia="Times New Roman" w:hAnsi="Gill Sans MT" w:cs="Times New Roman"/>
          <w:bCs/>
          <w:color w:val="000000"/>
          <w:lang w:eastAsia="en-GB"/>
        </w:rPr>
        <w:t>democratic procedures</w:t>
      </w:r>
      <w:r w:rsidRPr="006131F6">
        <w:rPr>
          <w:rFonts w:ascii="Gill Sans MT" w:eastAsia="Times New Roman" w:hAnsi="Gill Sans MT" w:cs="Times New Roman"/>
          <w:bCs/>
          <w:color w:val="000000"/>
          <w:lang w:eastAsia="en-GB"/>
        </w:rPr>
        <w:t>:</w:t>
      </w:r>
    </w:p>
    <w:p w14:paraId="3AF16F82" w14:textId="77777777" w:rsidR="006131F6" w:rsidRPr="006131F6" w:rsidRDefault="006131F6" w:rsidP="006131F6">
      <w:pPr>
        <w:rPr>
          <w:rFonts w:ascii="Gill Sans MT" w:hAnsi="Gill Sans MT"/>
          <w:i/>
          <w:iCs/>
        </w:rPr>
      </w:pPr>
      <w:r w:rsidRPr="006131F6">
        <w:rPr>
          <w:rFonts w:ascii="Gill Sans MT" w:hAnsi="Gill Sans MT"/>
          <w:i/>
          <w:iCs/>
        </w:rPr>
        <w:t>Case Study 1 - British Columbia Citizens’ Assembly on Electoral Reform</w:t>
      </w:r>
    </w:p>
    <w:p w14:paraId="5B4FA42B" w14:textId="77777777" w:rsidR="006131F6" w:rsidRPr="00836BF0" w:rsidRDefault="006131F6" w:rsidP="006131F6">
      <w:pPr>
        <w:shd w:val="clear" w:color="auto" w:fill="FFFFFF"/>
        <w:spacing w:after="150" w:line="240" w:lineRule="auto"/>
        <w:rPr>
          <w:rFonts w:ascii="Gill Sans MT" w:eastAsia="Times New Roman" w:hAnsi="Gill Sans MT" w:cs="Times New Roman"/>
          <w:bCs/>
          <w:color w:val="000000"/>
          <w:lang w:eastAsia="en-GB"/>
        </w:rPr>
      </w:pPr>
      <w:r w:rsidRPr="00836BF0">
        <w:rPr>
          <w:rFonts w:ascii="Gill Sans MT" w:eastAsia="Times New Roman" w:hAnsi="Gill Sans MT" w:cs="Times New Roman"/>
          <w:bCs/>
          <w:color w:val="000000"/>
          <w:lang w:eastAsia="en-GB"/>
        </w:rPr>
        <w:t xml:space="preserve">In 2004, a randomly selected 160-person citizens’ assembly was established by the British Columbian legislature. It was tasked with proposing a new electoral system for the province and had formal </w:t>
      </w:r>
      <w:r w:rsidRPr="00836BF0">
        <w:rPr>
          <w:rFonts w:ascii="Gill Sans MT" w:eastAsia="Times New Roman" w:hAnsi="Gill Sans MT" w:cs="Times New Roman"/>
          <w:bCs/>
          <w:color w:val="000000"/>
          <w:lang w:eastAsia="en-GB"/>
        </w:rPr>
        <w:lastRenderedPageBreak/>
        <w:t xml:space="preserve">powers: whatever it recommended would be put to the province in a referendum vote. After meeting throughout the year, all but seven of the participants recommended replacing the province's existing First Past the Post system with a Single Transferable Vote system. The discussion was high quality and wide ranging and researchers Fournier et al. found that the participants became more interested and informed </w:t>
      </w:r>
      <w:proofErr w:type="gramStart"/>
      <w:r w:rsidRPr="00836BF0">
        <w:rPr>
          <w:rFonts w:ascii="Gill Sans MT" w:eastAsia="Times New Roman" w:hAnsi="Gill Sans MT" w:cs="Times New Roman"/>
          <w:bCs/>
          <w:color w:val="000000"/>
          <w:lang w:eastAsia="en-GB"/>
        </w:rPr>
        <w:t>as a result of</w:t>
      </w:r>
      <w:proofErr w:type="gramEnd"/>
      <w:r w:rsidRPr="00836BF0">
        <w:rPr>
          <w:rFonts w:ascii="Gill Sans MT" w:eastAsia="Times New Roman" w:hAnsi="Gill Sans MT" w:cs="Times New Roman"/>
          <w:bCs/>
          <w:color w:val="000000"/>
          <w:lang w:eastAsia="en-GB"/>
        </w:rPr>
        <w:t xml:space="preserve"> their involvement. Even after the citizens’ assembly, when they were no longer being paid, most members remained a part of the public debate. Nonetheless, the province </w:t>
      </w:r>
      <w:proofErr w:type="gramStart"/>
      <w:r w:rsidRPr="00836BF0">
        <w:rPr>
          <w:rFonts w:ascii="Gill Sans MT" w:eastAsia="Times New Roman" w:hAnsi="Gill Sans MT" w:cs="Times New Roman"/>
          <w:bCs/>
          <w:color w:val="000000"/>
          <w:lang w:eastAsia="en-GB"/>
        </w:rPr>
        <w:t>as a whole voted</w:t>
      </w:r>
      <w:proofErr w:type="gramEnd"/>
      <w:r w:rsidRPr="00836BF0">
        <w:rPr>
          <w:rFonts w:ascii="Gill Sans MT" w:eastAsia="Times New Roman" w:hAnsi="Gill Sans MT" w:cs="Times New Roman"/>
          <w:bCs/>
          <w:color w:val="000000"/>
          <w:lang w:eastAsia="en-GB"/>
        </w:rPr>
        <w:t xml:space="preserve"> narrowly against the recommendation. </w:t>
      </w:r>
    </w:p>
    <w:p w14:paraId="1959EC93" w14:textId="77777777" w:rsidR="006131F6" w:rsidRPr="00836BF0" w:rsidRDefault="006131F6" w:rsidP="006131F6">
      <w:pPr>
        <w:shd w:val="clear" w:color="auto" w:fill="FFFFFF"/>
        <w:spacing w:after="150" w:line="240" w:lineRule="auto"/>
        <w:rPr>
          <w:rFonts w:ascii="Gill Sans MT" w:eastAsia="Times New Roman" w:hAnsi="Gill Sans MT" w:cs="Times New Roman"/>
          <w:bCs/>
          <w:color w:val="000000"/>
          <w:lang w:eastAsia="en-GB"/>
        </w:rPr>
      </w:pPr>
      <w:r w:rsidRPr="00836BF0">
        <w:rPr>
          <w:rFonts w:ascii="Gill Sans MT" w:eastAsia="Times New Roman" w:hAnsi="Gill Sans MT" w:cs="Times New Roman"/>
          <w:bCs/>
          <w:color w:val="000000"/>
          <w:lang w:eastAsia="en-GB"/>
        </w:rPr>
        <w:t>Regardless of the outcome, this case powerfully demonstrated how citizens’ assemblies can link up with the wider democratic process. A similar arrangement has since been used with great success in Ireland on the issues of same-sex marriage and abortion.</w:t>
      </w:r>
    </w:p>
    <w:p w14:paraId="29D58CE9" w14:textId="77777777" w:rsidR="006131F6" w:rsidRPr="006131F6" w:rsidRDefault="006131F6" w:rsidP="006131F6">
      <w:pPr>
        <w:rPr>
          <w:rFonts w:ascii="Gill Sans MT" w:hAnsi="Gill Sans MT"/>
          <w:i/>
          <w:iCs/>
        </w:rPr>
      </w:pPr>
      <w:r w:rsidRPr="006131F6">
        <w:rPr>
          <w:rFonts w:ascii="Gill Sans MT" w:hAnsi="Gill Sans MT"/>
          <w:i/>
          <w:iCs/>
        </w:rPr>
        <w:t>Case study 2 - Citizens’ Initiative Review in Oregon</w:t>
      </w:r>
    </w:p>
    <w:p w14:paraId="008B8164" w14:textId="77777777" w:rsidR="006131F6" w:rsidRPr="00836BF0" w:rsidRDefault="006131F6" w:rsidP="006131F6">
      <w:pPr>
        <w:shd w:val="clear" w:color="auto" w:fill="FFFFFF"/>
        <w:spacing w:after="150" w:line="240" w:lineRule="auto"/>
        <w:rPr>
          <w:rFonts w:ascii="Gill Sans MT" w:eastAsia="Times New Roman" w:hAnsi="Gill Sans MT" w:cs="Times New Roman"/>
          <w:bCs/>
          <w:color w:val="000000"/>
          <w:lang w:eastAsia="en-GB"/>
        </w:rPr>
      </w:pPr>
      <w:r w:rsidRPr="00836BF0">
        <w:rPr>
          <w:rFonts w:ascii="Gill Sans MT" w:eastAsia="Times New Roman" w:hAnsi="Gill Sans MT" w:cs="Times New Roman"/>
          <w:bCs/>
          <w:color w:val="000000"/>
          <w:lang w:eastAsia="en-GB"/>
        </w:rPr>
        <w:t>In the American state of Oregon, citizens’ assemblies are used to inform debate and improve public information before referendums and elections. A small group of 24 people evaluate ballot measures and create a Citizens’ Statement that is distributed to voters in the official Voters’ Guide. The statement includes key information, considered recommendations, and arguments on both sides of the debate. </w:t>
      </w:r>
    </w:p>
    <w:p w14:paraId="02EF9C65" w14:textId="6E0298C5" w:rsidR="006131F6" w:rsidRDefault="006131F6" w:rsidP="006131F6">
      <w:pPr>
        <w:shd w:val="clear" w:color="auto" w:fill="FFFFFF"/>
        <w:spacing w:after="150" w:line="240" w:lineRule="auto"/>
        <w:rPr>
          <w:rFonts w:ascii="Gill Sans MT" w:eastAsia="Times New Roman" w:hAnsi="Gill Sans MT" w:cs="Times New Roman"/>
          <w:bCs/>
          <w:color w:val="000000"/>
          <w:lang w:eastAsia="en-GB"/>
        </w:rPr>
      </w:pPr>
      <w:r w:rsidRPr="00836BF0">
        <w:rPr>
          <w:rFonts w:ascii="Gill Sans MT" w:eastAsia="Times New Roman" w:hAnsi="Gill Sans MT" w:cs="Times New Roman"/>
          <w:bCs/>
          <w:color w:val="000000"/>
          <w:lang w:eastAsia="en-GB"/>
        </w:rPr>
        <w:t xml:space="preserve">Participants have been found to gain confidence in themselves and the democratic system, to engage more with politics, and to develop a greater sense of ‘Oregonian’ identity </w:t>
      </w:r>
      <w:proofErr w:type="gramStart"/>
      <w:r w:rsidRPr="00836BF0">
        <w:rPr>
          <w:rFonts w:ascii="Gill Sans MT" w:eastAsia="Times New Roman" w:hAnsi="Gill Sans MT" w:cs="Times New Roman"/>
          <w:bCs/>
          <w:color w:val="000000"/>
          <w:lang w:eastAsia="en-GB"/>
        </w:rPr>
        <w:t>as a result of</w:t>
      </w:r>
      <w:proofErr w:type="gramEnd"/>
      <w:r w:rsidRPr="00836BF0">
        <w:rPr>
          <w:rFonts w:ascii="Gill Sans MT" w:eastAsia="Times New Roman" w:hAnsi="Gill Sans MT" w:cs="Times New Roman"/>
          <w:bCs/>
          <w:color w:val="000000"/>
          <w:lang w:eastAsia="en-GB"/>
        </w:rPr>
        <w:t xml:space="preserve"> the process. The Citizens’ Initiative Review also benefits members of the voting public who</w:t>
      </w:r>
      <w:r w:rsidR="00D44038">
        <w:rPr>
          <w:rFonts w:ascii="Gill Sans MT" w:eastAsia="Times New Roman" w:hAnsi="Gill Sans MT" w:cs="Times New Roman"/>
          <w:bCs/>
          <w:color w:val="000000"/>
          <w:lang w:eastAsia="en-GB"/>
        </w:rPr>
        <w:t>, after reading the Voters’ Guide,</w:t>
      </w:r>
      <w:r w:rsidRPr="00836BF0">
        <w:rPr>
          <w:rFonts w:ascii="Gill Sans MT" w:eastAsia="Times New Roman" w:hAnsi="Gill Sans MT" w:cs="Times New Roman"/>
          <w:bCs/>
          <w:color w:val="000000"/>
          <w:lang w:eastAsia="en-GB"/>
        </w:rPr>
        <w:t xml:space="preserve"> subsequently feel better-informed about the issue and report feeling politically empowered as a result. With better publicity, more Oregon citizens would enjoy these benefits.</w:t>
      </w:r>
    </w:p>
    <w:p w14:paraId="506422FB" w14:textId="16118359" w:rsidR="006B23E3" w:rsidRDefault="006B23E3" w:rsidP="006131F6">
      <w:pPr>
        <w:shd w:val="clear" w:color="auto" w:fill="FFFFFF"/>
        <w:spacing w:after="150" w:line="240" w:lineRule="auto"/>
        <w:rPr>
          <w:rFonts w:ascii="Gill Sans MT" w:eastAsia="Times New Roman" w:hAnsi="Gill Sans MT" w:cs="Times New Roman"/>
          <w:bCs/>
          <w:i/>
          <w:iCs/>
          <w:color w:val="000000"/>
          <w:lang w:eastAsia="en-GB"/>
        </w:rPr>
      </w:pPr>
      <w:r>
        <w:rPr>
          <w:rFonts w:ascii="Gill Sans MT" w:eastAsia="Times New Roman" w:hAnsi="Gill Sans MT" w:cs="Times New Roman"/>
          <w:bCs/>
          <w:i/>
          <w:iCs/>
          <w:color w:val="000000"/>
          <w:lang w:eastAsia="en-GB"/>
        </w:rPr>
        <w:t xml:space="preserve">Case study 3 </w:t>
      </w:r>
      <w:r w:rsidR="00C950E2">
        <w:rPr>
          <w:rFonts w:ascii="Gill Sans MT" w:eastAsia="Times New Roman" w:hAnsi="Gill Sans MT" w:cs="Times New Roman"/>
          <w:bCs/>
          <w:i/>
          <w:iCs/>
          <w:color w:val="000000"/>
          <w:lang w:eastAsia="en-GB"/>
        </w:rPr>
        <w:t>–</w:t>
      </w:r>
      <w:r>
        <w:rPr>
          <w:rFonts w:ascii="Gill Sans MT" w:eastAsia="Times New Roman" w:hAnsi="Gill Sans MT" w:cs="Times New Roman"/>
          <w:bCs/>
          <w:i/>
          <w:iCs/>
          <w:color w:val="000000"/>
          <w:lang w:eastAsia="en-GB"/>
        </w:rPr>
        <w:t xml:space="preserve"> </w:t>
      </w:r>
      <w:r w:rsidR="00C950E2">
        <w:rPr>
          <w:rFonts w:ascii="Gill Sans MT" w:eastAsia="Times New Roman" w:hAnsi="Gill Sans MT" w:cs="Times New Roman"/>
          <w:bCs/>
          <w:i/>
          <w:iCs/>
          <w:color w:val="000000"/>
          <w:lang w:eastAsia="en-GB"/>
        </w:rPr>
        <w:t>Icelandic Constitutional Convention</w:t>
      </w:r>
      <w:r w:rsidR="00524BCB">
        <w:rPr>
          <w:rFonts w:ascii="Gill Sans MT" w:eastAsia="Times New Roman" w:hAnsi="Gill Sans MT" w:cs="Times New Roman"/>
          <w:bCs/>
          <w:i/>
          <w:iCs/>
          <w:color w:val="000000"/>
          <w:lang w:eastAsia="en-GB"/>
        </w:rPr>
        <w:t>, 2009-201</w:t>
      </w:r>
      <w:r w:rsidR="00F15B14">
        <w:rPr>
          <w:rFonts w:ascii="Gill Sans MT" w:eastAsia="Times New Roman" w:hAnsi="Gill Sans MT" w:cs="Times New Roman"/>
          <w:bCs/>
          <w:i/>
          <w:iCs/>
          <w:color w:val="000000"/>
          <w:lang w:eastAsia="en-GB"/>
        </w:rPr>
        <w:t>1</w:t>
      </w:r>
    </w:p>
    <w:p w14:paraId="1C401CC4" w14:textId="6DC83C6E" w:rsidR="00524BCB" w:rsidRPr="00A04ABC" w:rsidRDefault="00DA507C" w:rsidP="00A04ABC">
      <w:r>
        <w:rPr>
          <w:rFonts w:ascii="Gill Sans MT" w:eastAsia="Times New Roman" w:hAnsi="Gill Sans MT" w:cs="Times New Roman"/>
          <w:bCs/>
          <w:color w:val="000000"/>
          <w:lang w:eastAsia="en-GB"/>
        </w:rPr>
        <w:t xml:space="preserve">Following the </w:t>
      </w:r>
      <w:r w:rsidR="00E62D93">
        <w:rPr>
          <w:rFonts w:ascii="Gill Sans MT" w:eastAsia="Times New Roman" w:hAnsi="Gill Sans MT" w:cs="Times New Roman"/>
          <w:bCs/>
          <w:color w:val="000000"/>
          <w:lang w:eastAsia="en-GB"/>
        </w:rPr>
        <w:t xml:space="preserve">devastating impact of the 2008 financial crisis in Iceland, </w:t>
      </w:r>
      <w:r w:rsidR="002B6048">
        <w:rPr>
          <w:rFonts w:ascii="Gill Sans MT" w:eastAsia="Times New Roman" w:hAnsi="Gill Sans MT" w:cs="Times New Roman"/>
          <w:bCs/>
          <w:color w:val="000000"/>
          <w:lang w:eastAsia="en-GB"/>
        </w:rPr>
        <w:t xml:space="preserve">the Icelandic government supported </w:t>
      </w:r>
      <w:r w:rsidR="002B6048" w:rsidRPr="002B6048">
        <w:rPr>
          <w:rFonts w:ascii="Gill Sans MT" w:eastAsia="Times New Roman" w:hAnsi="Gill Sans MT" w:cs="Times New Roman"/>
          <w:bCs/>
          <w:color w:val="000000"/>
          <w:lang w:eastAsia="en-GB"/>
        </w:rPr>
        <w:t xml:space="preserve">a sequence of </w:t>
      </w:r>
      <w:r w:rsidR="00344402">
        <w:rPr>
          <w:rFonts w:ascii="Gill Sans MT" w:eastAsia="Times New Roman" w:hAnsi="Gill Sans MT" w:cs="Times New Roman"/>
          <w:bCs/>
          <w:color w:val="000000"/>
          <w:lang w:eastAsia="en-GB"/>
        </w:rPr>
        <w:t xml:space="preserve">deliberative </w:t>
      </w:r>
      <w:r w:rsidR="002B6048" w:rsidRPr="002B6048">
        <w:rPr>
          <w:rFonts w:ascii="Gill Sans MT" w:eastAsia="Times New Roman" w:hAnsi="Gill Sans MT" w:cs="Times New Roman"/>
          <w:bCs/>
          <w:color w:val="000000"/>
          <w:lang w:eastAsia="en-GB"/>
        </w:rPr>
        <w:t xml:space="preserve">initiatives which </w:t>
      </w:r>
      <w:r w:rsidR="002B6048">
        <w:rPr>
          <w:rFonts w:ascii="Gill Sans MT" w:eastAsia="Times New Roman" w:hAnsi="Gill Sans MT" w:cs="Times New Roman"/>
          <w:bCs/>
          <w:color w:val="000000"/>
          <w:lang w:eastAsia="en-GB"/>
        </w:rPr>
        <w:t>culminated in</w:t>
      </w:r>
      <w:r w:rsidR="002B6048" w:rsidRPr="002B6048">
        <w:rPr>
          <w:rFonts w:ascii="Gill Sans MT" w:eastAsia="Times New Roman" w:hAnsi="Gill Sans MT" w:cs="Times New Roman"/>
          <w:bCs/>
          <w:color w:val="000000"/>
          <w:lang w:eastAsia="en-GB"/>
        </w:rPr>
        <w:t xml:space="preserve"> a new draft of the constitution being presented to parliament on 29th July 2011.</w:t>
      </w:r>
      <w:r w:rsidR="00F15B14">
        <w:rPr>
          <w:rFonts w:ascii="Gill Sans MT" w:eastAsia="Times New Roman" w:hAnsi="Gill Sans MT" w:cs="Times New Roman"/>
          <w:bCs/>
          <w:color w:val="000000"/>
          <w:lang w:eastAsia="en-GB"/>
        </w:rPr>
        <w:t xml:space="preserve"> This included the 2009 National Assembly (</w:t>
      </w:r>
      <w:r w:rsidR="00263F6C">
        <w:rPr>
          <w:rFonts w:ascii="Gill Sans MT" w:eastAsia="Times New Roman" w:hAnsi="Gill Sans MT" w:cs="Times New Roman"/>
          <w:bCs/>
          <w:color w:val="000000"/>
          <w:lang w:eastAsia="en-GB"/>
        </w:rPr>
        <w:t xml:space="preserve">a national brainstorming session </w:t>
      </w:r>
      <w:r w:rsidR="00A90F2A">
        <w:rPr>
          <w:rFonts w:ascii="Gill Sans MT" w:eastAsia="Times New Roman" w:hAnsi="Gill Sans MT" w:cs="Times New Roman"/>
          <w:bCs/>
          <w:color w:val="000000"/>
          <w:lang w:eastAsia="en-GB"/>
        </w:rPr>
        <w:t xml:space="preserve">for a recovery plan </w:t>
      </w:r>
      <w:r w:rsidR="00263F6C">
        <w:rPr>
          <w:rFonts w:ascii="Gill Sans MT" w:eastAsia="Times New Roman" w:hAnsi="Gill Sans MT" w:cs="Times New Roman"/>
          <w:bCs/>
          <w:color w:val="000000"/>
          <w:lang w:eastAsia="en-GB"/>
        </w:rPr>
        <w:t>consisting of 1,500 participants mostly selected by lot)</w:t>
      </w:r>
      <w:r w:rsidR="00A90F2A">
        <w:rPr>
          <w:rFonts w:ascii="Gill Sans MT" w:eastAsia="Times New Roman" w:hAnsi="Gill Sans MT" w:cs="Times New Roman"/>
          <w:bCs/>
          <w:color w:val="000000"/>
          <w:lang w:eastAsia="en-GB"/>
        </w:rPr>
        <w:t xml:space="preserve">, </w:t>
      </w:r>
      <w:r w:rsidR="002201A4">
        <w:rPr>
          <w:rFonts w:ascii="Gill Sans MT" w:eastAsia="Times New Roman" w:hAnsi="Gill Sans MT" w:cs="Times New Roman"/>
          <w:bCs/>
          <w:color w:val="000000"/>
          <w:lang w:eastAsia="en-GB"/>
        </w:rPr>
        <w:t>the 2010 National Forum (</w:t>
      </w:r>
      <w:r w:rsidR="003D7BC8">
        <w:rPr>
          <w:rFonts w:ascii="Gill Sans MT" w:eastAsia="Times New Roman" w:hAnsi="Gill Sans MT" w:cs="Times New Roman"/>
          <w:bCs/>
          <w:color w:val="000000"/>
          <w:lang w:eastAsia="en-GB"/>
        </w:rPr>
        <w:t>an assembly of 950 citizens which inf</w:t>
      </w:r>
      <w:r w:rsidR="00B0553D">
        <w:rPr>
          <w:rFonts w:ascii="Gill Sans MT" w:eastAsia="Times New Roman" w:hAnsi="Gill Sans MT" w:cs="Times New Roman"/>
          <w:bCs/>
          <w:color w:val="000000"/>
          <w:lang w:eastAsia="en-GB"/>
        </w:rPr>
        <w:t>luenced</w:t>
      </w:r>
      <w:r w:rsidR="003D7BC8">
        <w:rPr>
          <w:rFonts w:ascii="Gill Sans MT" w:eastAsia="Times New Roman" w:hAnsi="Gill Sans MT" w:cs="Times New Roman"/>
          <w:bCs/>
          <w:color w:val="000000"/>
          <w:lang w:eastAsia="en-GB"/>
        </w:rPr>
        <w:t xml:space="preserve"> </w:t>
      </w:r>
      <w:r w:rsidR="009F581F">
        <w:rPr>
          <w:rFonts w:ascii="Gill Sans MT" w:eastAsia="Times New Roman" w:hAnsi="Gill Sans MT" w:cs="Times New Roman"/>
          <w:bCs/>
          <w:color w:val="000000"/>
          <w:lang w:eastAsia="en-GB"/>
        </w:rPr>
        <w:t>a 700 page report written by the Icelandic Constitutional Committee) and</w:t>
      </w:r>
      <w:r w:rsidR="00892809">
        <w:rPr>
          <w:rFonts w:ascii="Gill Sans MT" w:eastAsia="Times New Roman" w:hAnsi="Gill Sans MT" w:cs="Times New Roman"/>
          <w:bCs/>
          <w:color w:val="000000"/>
          <w:lang w:eastAsia="en-GB"/>
        </w:rPr>
        <w:t xml:space="preserve"> the Constitutional Assembly (</w:t>
      </w:r>
      <w:r w:rsidR="00747C36">
        <w:rPr>
          <w:rFonts w:ascii="Gill Sans MT" w:eastAsia="Times New Roman" w:hAnsi="Gill Sans MT" w:cs="Times New Roman"/>
          <w:bCs/>
          <w:color w:val="000000"/>
          <w:lang w:eastAsia="en-GB"/>
        </w:rPr>
        <w:t xml:space="preserve">25 elected members of the public </w:t>
      </w:r>
      <w:r w:rsidR="006F251B">
        <w:rPr>
          <w:rFonts w:ascii="Gill Sans MT" w:eastAsia="Times New Roman" w:hAnsi="Gill Sans MT" w:cs="Times New Roman"/>
          <w:bCs/>
          <w:color w:val="000000"/>
          <w:lang w:eastAsia="en-GB"/>
        </w:rPr>
        <w:t>who produced a constitutional draft based on the Constitutional Committee’s report and online feedback from the wider public).</w:t>
      </w:r>
      <w:r w:rsidR="00831419">
        <w:rPr>
          <w:rFonts w:ascii="Gill Sans MT" w:eastAsia="Times New Roman" w:hAnsi="Gill Sans MT" w:cs="Times New Roman"/>
          <w:bCs/>
          <w:color w:val="000000"/>
          <w:lang w:eastAsia="en-GB"/>
        </w:rPr>
        <w:t xml:space="preserve"> </w:t>
      </w:r>
      <w:r w:rsidR="00831419" w:rsidRPr="00831419">
        <w:rPr>
          <w:rFonts w:ascii="Gill Sans MT" w:eastAsia="Times New Roman" w:hAnsi="Gill Sans MT" w:cs="Times New Roman"/>
          <w:bCs/>
          <w:color w:val="000000"/>
          <w:lang w:eastAsia="en-GB"/>
        </w:rPr>
        <w:t xml:space="preserve">The constitutional proposal was </w:t>
      </w:r>
      <w:hyperlink r:id="rId11" w:history="1">
        <w:r w:rsidR="00831419" w:rsidRPr="00831419">
          <w:rPr>
            <w:rFonts w:ascii="Gill Sans MT" w:eastAsia="Times New Roman" w:hAnsi="Gill Sans MT" w:cs="Times New Roman"/>
            <w:bCs/>
            <w:color w:val="000000"/>
            <w:lang w:eastAsia="en-GB"/>
          </w:rPr>
          <w:t>approved by referendum</w:t>
        </w:r>
      </w:hyperlink>
      <w:r w:rsidR="00831419" w:rsidRPr="00831419">
        <w:rPr>
          <w:rFonts w:ascii="Gill Sans MT" w:eastAsia="Times New Roman" w:hAnsi="Gill Sans MT" w:cs="Times New Roman"/>
          <w:bCs/>
          <w:color w:val="000000"/>
          <w:lang w:eastAsia="en-GB"/>
        </w:rPr>
        <w:t xml:space="preserve"> in October 2012 by a margin of 2/3</w:t>
      </w:r>
      <w:r w:rsidR="006F6250">
        <w:rPr>
          <w:rFonts w:ascii="Gill Sans MT" w:eastAsia="Times New Roman" w:hAnsi="Gill Sans MT" w:cs="Times New Roman"/>
          <w:bCs/>
          <w:color w:val="000000"/>
          <w:lang w:eastAsia="en-GB"/>
        </w:rPr>
        <w:t xml:space="preserve">, </w:t>
      </w:r>
      <w:r w:rsidR="006F6250" w:rsidRPr="006F6250">
        <w:rPr>
          <w:rFonts w:ascii="Gill Sans MT" w:eastAsia="Times New Roman" w:hAnsi="Gill Sans MT" w:cs="Times New Roman"/>
          <w:bCs/>
          <w:color w:val="000000"/>
          <w:lang w:eastAsia="en-GB"/>
        </w:rPr>
        <w:t>but</w:t>
      </w:r>
      <w:r w:rsidR="006F6250" w:rsidRPr="006F6250">
        <w:rPr>
          <w:rFonts w:ascii="Gill Sans MT" w:eastAsia="Times New Roman" w:hAnsi="Gill Sans MT" w:cs="Times New Roman"/>
          <w:bCs/>
          <w:color w:val="000000"/>
          <w:lang w:eastAsia="en-GB"/>
        </w:rPr>
        <w:t xml:space="preserve"> parliament failed to take the process further </w:t>
      </w:r>
      <w:r w:rsidR="006F6250" w:rsidRPr="006F6250">
        <w:rPr>
          <w:rFonts w:ascii="Gill Sans MT" w:eastAsia="Times New Roman" w:hAnsi="Gill Sans MT" w:cs="Times New Roman"/>
          <w:bCs/>
          <w:color w:val="000000"/>
          <w:lang w:eastAsia="en-GB"/>
        </w:rPr>
        <w:t>due to</w:t>
      </w:r>
      <w:r w:rsidR="006F6250" w:rsidRPr="006F6250">
        <w:rPr>
          <w:rFonts w:ascii="Gill Sans MT" w:eastAsia="Times New Roman" w:hAnsi="Gill Sans MT" w:cs="Times New Roman"/>
          <w:bCs/>
          <w:color w:val="000000"/>
          <w:lang w:eastAsia="en-GB"/>
        </w:rPr>
        <w:t xml:space="preserve"> pressure from opposition partie</w:t>
      </w:r>
      <w:r w:rsidR="00B0553D">
        <w:rPr>
          <w:rFonts w:ascii="Gill Sans MT" w:eastAsia="Times New Roman" w:hAnsi="Gill Sans MT" w:cs="Times New Roman"/>
          <w:bCs/>
          <w:color w:val="000000"/>
          <w:lang w:eastAsia="en-GB"/>
        </w:rPr>
        <w:t>s</w:t>
      </w:r>
      <w:r w:rsidR="006F6250" w:rsidRPr="006F6250">
        <w:rPr>
          <w:rFonts w:ascii="Gill Sans MT" w:eastAsia="Times New Roman" w:hAnsi="Gill Sans MT" w:cs="Times New Roman"/>
          <w:bCs/>
          <w:color w:val="000000"/>
          <w:lang w:eastAsia="en-GB"/>
        </w:rPr>
        <w:t>.</w:t>
      </w:r>
      <w:r w:rsidR="009A1CAC">
        <w:rPr>
          <w:rFonts w:ascii="Gill Sans MT" w:eastAsia="Times New Roman" w:hAnsi="Gill Sans MT" w:cs="Times New Roman"/>
          <w:bCs/>
          <w:color w:val="000000"/>
          <w:lang w:eastAsia="en-GB"/>
        </w:rPr>
        <w:t xml:space="preserve"> The</w:t>
      </w:r>
      <w:r w:rsidR="00B0553D">
        <w:rPr>
          <w:rFonts w:ascii="Gill Sans MT" w:eastAsia="Times New Roman" w:hAnsi="Gill Sans MT" w:cs="Times New Roman"/>
          <w:bCs/>
          <w:color w:val="000000"/>
          <w:lang w:eastAsia="en-GB"/>
        </w:rPr>
        <w:t>re</w:t>
      </w:r>
      <w:r w:rsidR="009A1CAC">
        <w:rPr>
          <w:rFonts w:ascii="Gill Sans MT" w:eastAsia="Times New Roman" w:hAnsi="Gill Sans MT" w:cs="Times New Roman"/>
          <w:bCs/>
          <w:color w:val="000000"/>
          <w:lang w:eastAsia="en-GB"/>
        </w:rPr>
        <w:t xml:space="preserve"> have recently been renewed efforts to </w:t>
      </w:r>
      <w:r w:rsidR="00B0553D">
        <w:rPr>
          <w:rFonts w:ascii="Gill Sans MT" w:eastAsia="Times New Roman" w:hAnsi="Gill Sans MT" w:cs="Times New Roman"/>
          <w:bCs/>
          <w:color w:val="000000"/>
          <w:lang w:eastAsia="en-GB"/>
        </w:rPr>
        <w:t>take this process forwards</w:t>
      </w:r>
      <w:r w:rsidR="00A82F99">
        <w:rPr>
          <w:rFonts w:ascii="Gill Sans MT" w:eastAsia="Times New Roman" w:hAnsi="Gill Sans MT" w:cs="Times New Roman"/>
          <w:bCs/>
          <w:color w:val="000000"/>
          <w:lang w:eastAsia="en-GB"/>
        </w:rPr>
        <w:t xml:space="preserve"> and </w:t>
      </w:r>
      <w:r w:rsidR="00376FE8">
        <w:rPr>
          <w:rFonts w:ascii="Gill Sans MT" w:eastAsia="Times New Roman" w:hAnsi="Gill Sans MT" w:cs="Times New Roman"/>
          <w:bCs/>
          <w:color w:val="000000"/>
          <w:lang w:eastAsia="en-GB"/>
        </w:rPr>
        <w:t>there is</w:t>
      </w:r>
      <w:r w:rsidR="00A82F99">
        <w:rPr>
          <w:rFonts w:ascii="Gill Sans MT" w:eastAsia="Times New Roman" w:hAnsi="Gill Sans MT" w:cs="Times New Roman"/>
          <w:bCs/>
          <w:color w:val="000000"/>
          <w:lang w:eastAsia="en-GB"/>
        </w:rPr>
        <w:t xml:space="preserve"> now </w:t>
      </w:r>
      <w:r w:rsidR="00407CB1">
        <w:rPr>
          <w:rFonts w:ascii="Gill Sans MT" w:eastAsia="Times New Roman" w:hAnsi="Gill Sans MT" w:cs="Times New Roman"/>
          <w:bCs/>
          <w:color w:val="000000"/>
          <w:lang w:eastAsia="en-GB"/>
        </w:rPr>
        <w:t xml:space="preserve">wider </w:t>
      </w:r>
      <w:r w:rsidR="00A82F99">
        <w:rPr>
          <w:rFonts w:ascii="Gill Sans MT" w:eastAsia="Times New Roman" w:hAnsi="Gill Sans MT" w:cs="Times New Roman"/>
          <w:bCs/>
          <w:color w:val="000000"/>
          <w:lang w:eastAsia="en-GB"/>
        </w:rPr>
        <w:t>support</w:t>
      </w:r>
      <w:r w:rsidR="00376FE8">
        <w:rPr>
          <w:rFonts w:ascii="Gill Sans MT" w:eastAsia="Times New Roman" w:hAnsi="Gill Sans MT" w:cs="Times New Roman"/>
          <w:bCs/>
          <w:color w:val="000000"/>
          <w:lang w:eastAsia="en-GB"/>
        </w:rPr>
        <w:t xml:space="preserve"> for constitutional revision</w:t>
      </w:r>
      <w:r w:rsidR="00A82F99">
        <w:rPr>
          <w:rFonts w:ascii="Gill Sans MT" w:eastAsia="Times New Roman" w:hAnsi="Gill Sans MT" w:cs="Times New Roman"/>
          <w:bCs/>
          <w:color w:val="000000"/>
          <w:lang w:eastAsia="en-GB"/>
        </w:rPr>
        <w:t xml:space="preserve"> </w:t>
      </w:r>
      <w:r w:rsidR="00376FE8">
        <w:rPr>
          <w:rFonts w:ascii="Gill Sans MT" w:eastAsia="Times New Roman" w:hAnsi="Gill Sans MT" w:cs="Times New Roman"/>
          <w:bCs/>
          <w:color w:val="000000"/>
          <w:lang w:eastAsia="en-GB"/>
        </w:rPr>
        <w:t>from across the party system</w:t>
      </w:r>
      <w:r w:rsidR="00407CB1">
        <w:rPr>
          <w:rStyle w:val="FootnoteReference"/>
          <w:rFonts w:ascii="Gill Sans MT" w:eastAsia="Times New Roman" w:hAnsi="Gill Sans MT" w:cs="Times New Roman"/>
          <w:bCs/>
          <w:color w:val="000000"/>
          <w:lang w:eastAsia="en-GB"/>
        </w:rPr>
        <w:footnoteReference w:id="4"/>
      </w:r>
      <w:r w:rsidR="00376FE8">
        <w:rPr>
          <w:rFonts w:ascii="Gill Sans MT" w:eastAsia="Times New Roman" w:hAnsi="Gill Sans MT" w:cs="Times New Roman"/>
          <w:bCs/>
          <w:color w:val="000000"/>
          <w:lang w:eastAsia="en-GB"/>
        </w:rPr>
        <w:t>.</w:t>
      </w:r>
    </w:p>
    <w:p w14:paraId="3D4F719C" w14:textId="77777777" w:rsidR="006131F6" w:rsidRPr="006131F6" w:rsidRDefault="006131F6" w:rsidP="006131F6">
      <w:pPr>
        <w:rPr>
          <w:rFonts w:ascii="Gill Sans MT" w:eastAsia="Times New Roman" w:hAnsi="Gill Sans MT" w:cs="Times New Roman"/>
          <w:b/>
          <w:color w:val="000000"/>
          <w:lang w:eastAsia="en-GB"/>
        </w:rPr>
      </w:pPr>
      <w:r w:rsidRPr="006131F6">
        <w:rPr>
          <w:rFonts w:ascii="Gill Sans MT" w:eastAsia="Times New Roman" w:hAnsi="Gill Sans MT" w:cs="Times New Roman"/>
          <w:b/>
          <w:color w:val="000000"/>
          <w:lang w:eastAsia="en-GB"/>
        </w:rPr>
        <w:t>Conclusion</w:t>
      </w:r>
    </w:p>
    <w:p w14:paraId="2BC64560" w14:textId="0C52632A" w:rsidR="006131F6" w:rsidRPr="006131F6" w:rsidRDefault="006131F6" w:rsidP="006131F6">
      <w:pPr>
        <w:rPr>
          <w:rFonts w:ascii="Gill Sans MT" w:eastAsia="Times New Roman" w:hAnsi="Gill Sans MT" w:cs="Times New Roman"/>
          <w:bCs/>
          <w:color w:val="000000"/>
          <w:lang w:eastAsia="en-GB"/>
        </w:rPr>
      </w:pPr>
      <w:r w:rsidRPr="006131F6">
        <w:rPr>
          <w:rFonts w:ascii="Gill Sans MT" w:eastAsia="Times New Roman" w:hAnsi="Gill Sans MT" w:cs="Times New Roman"/>
          <w:bCs/>
          <w:color w:val="000000"/>
          <w:lang w:eastAsia="en-GB"/>
        </w:rPr>
        <w:t xml:space="preserve">Based on the proven benefits of citizens’ assemblies and the growing list of encouraging examples from around the world, the RSA supports the </w:t>
      </w:r>
      <w:proofErr w:type="spellStart"/>
      <w:r w:rsidRPr="006131F6">
        <w:rPr>
          <w:rFonts w:ascii="Gill Sans MT" w:eastAsia="Times New Roman" w:hAnsi="Gill Sans MT" w:cs="Times New Roman"/>
          <w:bCs/>
          <w:color w:val="000000"/>
          <w:lang w:eastAsia="en-GB"/>
        </w:rPr>
        <w:t>C</w:t>
      </w:r>
      <w:r w:rsidRPr="006131F6">
        <w:rPr>
          <w:rFonts w:ascii="Gill Sans MT" w:hAnsi="Gill Sans MT"/>
        </w:rPr>
        <w:t>CUKDemocracy</w:t>
      </w:r>
      <w:proofErr w:type="spellEnd"/>
      <w:r w:rsidRPr="006131F6">
        <w:rPr>
          <w:rFonts w:ascii="Gill Sans MT" w:eastAsia="Times New Roman" w:hAnsi="Gill Sans MT" w:cs="Times New Roman"/>
          <w:bCs/>
          <w:color w:val="000000"/>
          <w:lang w:eastAsia="en-GB"/>
        </w:rPr>
        <w:t xml:space="preserve"> proposal for the Lords Committee to run a </w:t>
      </w:r>
      <w:r w:rsidRPr="006131F6">
        <w:rPr>
          <w:rFonts w:ascii="Gill Sans MT" w:hAnsi="Gill Sans MT"/>
        </w:rPr>
        <w:t xml:space="preserve">citizens’ assembly, or a set of citizens’ assemblies, to support its work. We would be very happy to speak with you or answer any questions </w:t>
      </w:r>
      <w:r w:rsidR="0019433F">
        <w:rPr>
          <w:rFonts w:ascii="Gill Sans MT" w:hAnsi="Gill Sans MT"/>
        </w:rPr>
        <w:t xml:space="preserve">about this submission </w:t>
      </w:r>
      <w:r w:rsidRPr="006131F6">
        <w:rPr>
          <w:rFonts w:ascii="Gill Sans MT" w:hAnsi="Gill Sans MT"/>
        </w:rPr>
        <w:t xml:space="preserve">should </w:t>
      </w:r>
      <w:r w:rsidR="00155167">
        <w:rPr>
          <w:rFonts w:ascii="Gill Sans MT" w:hAnsi="Gill Sans MT"/>
        </w:rPr>
        <w:t>this support your inquiry.</w:t>
      </w:r>
    </w:p>
    <w:p w14:paraId="70603AFB" w14:textId="77777777" w:rsidR="006131F6" w:rsidRPr="006131F6" w:rsidRDefault="006131F6" w:rsidP="006131F6">
      <w:pPr>
        <w:rPr>
          <w:rFonts w:ascii="Gill Sans MT" w:hAnsi="Gill Sans MT"/>
        </w:rPr>
      </w:pPr>
    </w:p>
    <w:p w14:paraId="49AE2E8B" w14:textId="43DDB100" w:rsidR="006F1064" w:rsidRPr="006131F6" w:rsidRDefault="006F1064" w:rsidP="006131F6">
      <w:pPr>
        <w:rPr>
          <w:rFonts w:ascii="Gill Sans MT" w:hAnsi="Gill Sans MT" w:cs="Gill Sans"/>
          <w:sz w:val="20"/>
          <w:szCs w:val="20"/>
        </w:rPr>
      </w:pPr>
    </w:p>
    <w:sectPr w:rsidR="006F1064" w:rsidRPr="006131F6" w:rsidSect="00527977">
      <w:headerReference w:type="default" r:id="rId12"/>
      <w:footerReference w:type="default" r:id="rId13"/>
      <w:pgSz w:w="11906" w:h="16838"/>
      <w:pgMar w:top="1440" w:right="1440" w:bottom="1440" w:left="1440" w:header="284"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FC988" w14:textId="77777777" w:rsidR="00E76B8B" w:rsidRDefault="00E76B8B" w:rsidP="00527977">
      <w:pPr>
        <w:spacing w:after="0" w:line="240" w:lineRule="auto"/>
      </w:pPr>
      <w:r>
        <w:separator/>
      </w:r>
    </w:p>
  </w:endnote>
  <w:endnote w:type="continuationSeparator" w:id="0">
    <w:p w14:paraId="6CC79E7E" w14:textId="77777777" w:rsidR="00E76B8B" w:rsidRDefault="00E76B8B" w:rsidP="00527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altName w:val="Calibri"/>
    <w:charset w:val="00"/>
    <w:family w:val="swiss"/>
    <w:pitch w:val="variable"/>
    <w:sig w:usb0="A0002AE7" w:usb1="00000000"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B37CF" w14:textId="77777777" w:rsidR="00527977" w:rsidRPr="00527977" w:rsidRDefault="00527977" w:rsidP="00527977">
    <w:pPr>
      <w:pStyle w:val="Footer"/>
      <w:jc w:val="center"/>
      <w:rPr>
        <w:rFonts w:ascii="Gill Sans" w:hAnsi="Gill Sans" w:cs="Gill Sans"/>
        <w:sz w:val="20"/>
        <w:szCs w:val="20"/>
      </w:rPr>
    </w:pPr>
    <w:r w:rsidRPr="00527977">
      <w:rPr>
        <w:rFonts w:ascii="Gill Sans" w:hAnsi="Gill Sans" w:cs="Gill Sans"/>
        <w:b/>
        <w:bCs/>
        <w:sz w:val="20"/>
        <w:szCs w:val="20"/>
      </w:rPr>
      <w:t>RSA</w:t>
    </w:r>
    <w:r w:rsidRPr="00527977">
      <w:rPr>
        <w:rFonts w:ascii="Gill Sans" w:hAnsi="Gill Sans" w:cs="Gill Sans"/>
        <w:sz w:val="20"/>
        <w:szCs w:val="20"/>
      </w:rPr>
      <w:t xml:space="preserve"> (The royal society for arts, manufactures and commerce)</w:t>
    </w:r>
  </w:p>
  <w:p w14:paraId="6D38DAC9" w14:textId="77777777" w:rsidR="00527977" w:rsidRPr="00527977" w:rsidRDefault="00527977" w:rsidP="00527977">
    <w:pPr>
      <w:pStyle w:val="Footer"/>
      <w:jc w:val="center"/>
      <w:rPr>
        <w:rFonts w:ascii="Gill Sans" w:hAnsi="Gill Sans" w:cs="Gill Sans"/>
        <w:sz w:val="20"/>
        <w:szCs w:val="20"/>
      </w:rPr>
    </w:pPr>
    <w:r w:rsidRPr="00527977">
      <w:rPr>
        <w:rFonts w:ascii="Gill Sans" w:hAnsi="Gill Sans" w:cs="Gill Sans"/>
        <w:sz w:val="20"/>
        <w:szCs w:val="20"/>
      </w:rPr>
      <w:t>8 John Adam Street, London, WC2N 6EZ.</w:t>
    </w:r>
  </w:p>
  <w:p w14:paraId="392E4203" w14:textId="77777777" w:rsidR="00527977" w:rsidRPr="00527977" w:rsidRDefault="00527977" w:rsidP="00527977">
    <w:pPr>
      <w:pStyle w:val="Footer"/>
      <w:jc w:val="center"/>
      <w:rPr>
        <w:rFonts w:ascii="Gill Sans" w:hAnsi="Gill Sans" w:cs="Gill Sans"/>
        <w:sz w:val="20"/>
        <w:szCs w:val="20"/>
      </w:rPr>
    </w:pPr>
    <w:r w:rsidRPr="00527977">
      <w:rPr>
        <w:rFonts w:ascii="Gill Sans" w:hAnsi="Gill Sans" w:cs="Gill Sans"/>
        <w:sz w:val="20"/>
        <w:szCs w:val="20"/>
      </w:rPr>
      <w:t>Registered charity in England and Wales no. 212424</w:t>
    </w:r>
    <w:r>
      <w:rPr>
        <w:rFonts w:ascii="Gill Sans" w:hAnsi="Gill Sans" w:cs="Gill Sans"/>
        <w:sz w:val="20"/>
        <w:szCs w:val="20"/>
      </w:rPr>
      <w:t xml:space="preserve"> </w:t>
    </w:r>
    <w:r w:rsidRPr="00527977">
      <w:rPr>
        <w:rFonts w:ascii="Gill Sans" w:hAnsi="Gill Sans" w:cs="Gill Sans"/>
        <w:sz w:val="20"/>
        <w:szCs w:val="20"/>
      </w:rPr>
      <w:t>and Scotland no. SC037784.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F345B" w14:textId="77777777" w:rsidR="00E76B8B" w:rsidRDefault="00E76B8B" w:rsidP="00527977">
      <w:pPr>
        <w:spacing w:after="0" w:line="240" w:lineRule="auto"/>
      </w:pPr>
      <w:r>
        <w:separator/>
      </w:r>
    </w:p>
  </w:footnote>
  <w:footnote w:type="continuationSeparator" w:id="0">
    <w:p w14:paraId="4AC1D63B" w14:textId="77777777" w:rsidR="00E76B8B" w:rsidRDefault="00E76B8B" w:rsidP="00527977">
      <w:pPr>
        <w:spacing w:after="0" w:line="240" w:lineRule="auto"/>
      </w:pPr>
      <w:r>
        <w:continuationSeparator/>
      </w:r>
    </w:p>
  </w:footnote>
  <w:footnote w:id="1">
    <w:p w14:paraId="089743E5" w14:textId="77777777" w:rsidR="006131F6" w:rsidRDefault="006131F6" w:rsidP="006131F6">
      <w:pPr>
        <w:pStyle w:val="FootnoteText"/>
      </w:pPr>
      <w:r>
        <w:rPr>
          <w:rStyle w:val="FootnoteReference"/>
        </w:rPr>
        <w:footnoteRef/>
      </w:r>
      <w:r>
        <w:t xml:space="preserve"> The RSA – Written Evidence (LBC0259), Covid19 House of Lords Committee 2020 - </w:t>
      </w:r>
      <w:r w:rsidRPr="00D644E1">
        <w:t>https://committees.parliament.uk/writtenevidence/10621/pdf/</w:t>
      </w:r>
    </w:p>
  </w:footnote>
  <w:footnote w:id="2">
    <w:p w14:paraId="2E14657C" w14:textId="77777777" w:rsidR="006131F6" w:rsidRDefault="006131F6" w:rsidP="006131F6">
      <w:pPr>
        <w:pStyle w:val="FootnoteText"/>
      </w:pPr>
      <w:r>
        <w:rPr>
          <w:rStyle w:val="FootnoteReference"/>
        </w:rPr>
        <w:footnoteRef/>
      </w:r>
      <w:r>
        <w:t xml:space="preserve"> Innovation in Democracy Programme case studies, 2020 - </w:t>
      </w:r>
      <w:r w:rsidRPr="00D0448A">
        <w:t>https://www.thersa.org/globalassets/reports/2020/IIDP-case-studies.pdf</w:t>
      </w:r>
    </w:p>
  </w:footnote>
  <w:footnote w:id="3">
    <w:p w14:paraId="5F860FDA" w14:textId="77777777" w:rsidR="006131F6" w:rsidRDefault="006131F6" w:rsidP="006131F6">
      <w:pPr>
        <w:pStyle w:val="FootnoteText"/>
      </w:pPr>
      <w:r>
        <w:rPr>
          <w:rStyle w:val="FootnoteReference"/>
        </w:rPr>
        <w:footnoteRef/>
      </w:r>
      <w:r>
        <w:t xml:space="preserve"> </w:t>
      </w:r>
      <w:r w:rsidRPr="000A72ED">
        <w:t>https://www.newham.gov.uk/council/citizens-assemblies</w:t>
      </w:r>
    </w:p>
  </w:footnote>
  <w:footnote w:id="4">
    <w:p w14:paraId="6A459D93" w14:textId="217C9EFD" w:rsidR="00407CB1" w:rsidRDefault="00407CB1">
      <w:pPr>
        <w:pStyle w:val="FootnoteText"/>
      </w:pPr>
      <w:r>
        <w:rPr>
          <w:rStyle w:val="FootnoteReference"/>
        </w:rPr>
        <w:footnoteRef/>
      </w:r>
      <w:r>
        <w:t xml:space="preserve"> </w:t>
      </w:r>
      <w:r w:rsidRPr="00407CB1">
        <w:t>https://theconversation.com/icelands-crowd-sourced-constitution-hope-for-disillusioned-voters-everywhere-67803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B4C2C" w14:textId="77777777" w:rsidR="00527977" w:rsidRDefault="00527977" w:rsidP="00527977">
    <w:pPr>
      <w:pStyle w:val="Header"/>
      <w:ind w:left="-993"/>
    </w:pPr>
    <w:r>
      <w:rPr>
        <w:noProof/>
      </w:rPr>
      <w:drawing>
        <wp:inline distT="0" distB="0" distL="0" distR="0" wp14:anchorId="2400C08E" wp14:editId="4BE7C554">
          <wp:extent cx="548640" cy="385557"/>
          <wp:effectExtent l="0" t="0" r="381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866" cy="3857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0F5930"/>
    <w:multiLevelType w:val="hybridMultilevel"/>
    <w:tmpl w:val="F3D4C6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1F6"/>
    <w:rsid w:val="00155167"/>
    <w:rsid w:val="001555C7"/>
    <w:rsid w:val="0019433F"/>
    <w:rsid w:val="002201A4"/>
    <w:rsid w:val="00263F6C"/>
    <w:rsid w:val="002B6048"/>
    <w:rsid w:val="002C386E"/>
    <w:rsid w:val="00344402"/>
    <w:rsid w:val="00376FE8"/>
    <w:rsid w:val="003D7BC8"/>
    <w:rsid w:val="00407CB1"/>
    <w:rsid w:val="00524BCB"/>
    <w:rsid w:val="00527977"/>
    <w:rsid w:val="006131F6"/>
    <w:rsid w:val="006B23E3"/>
    <w:rsid w:val="006F1064"/>
    <w:rsid w:val="006F251B"/>
    <w:rsid w:val="006F6250"/>
    <w:rsid w:val="00704600"/>
    <w:rsid w:val="00747C36"/>
    <w:rsid w:val="00831419"/>
    <w:rsid w:val="00890323"/>
    <w:rsid w:val="00892809"/>
    <w:rsid w:val="009A1CAC"/>
    <w:rsid w:val="009F581F"/>
    <w:rsid w:val="00A04ABC"/>
    <w:rsid w:val="00A82F99"/>
    <w:rsid w:val="00A90F2A"/>
    <w:rsid w:val="00AB710B"/>
    <w:rsid w:val="00B0553D"/>
    <w:rsid w:val="00BC136C"/>
    <w:rsid w:val="00C950E2"/>
    <w:rsid w:val="00D44038"/>
    <w:rsid w:val="00DA507C"/>
    <w:rsid w:val="00DD04B8"/>
    <w:rsid w:val="00E6199E"/>
    <w:rsid w:val="00E62D93"/>
    <w:rsid w:val="00E76B8B"/>
    <w:rsid w:val="00F15B14"/>
    <w:rsid w:val="00F76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FE774"/>
  <w15:chartTrackingRefBased/>
  <w15:docId w15:val="{31C4D169-7AA2-4EB8-8569-ECC55FA1D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9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977"/>
  </w:style>
  <w:style w:type="paragraph" w:styleId="Footer">
    <w:name w:val="footer"/>
    <w:basedOn w:val="Normal"/>
    <w:link w:val="FooterChar"/>
    <w:uiPriority w:val="99"/>
    <w:unhideWhenUsed/>
    <w:rsid w:val="005279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977"/>
  </w:style>
  <w:style w:type="paragraph" w:styleId="ListParagraph">
    <w:name w:val="List Paragraph"/>
    <w:basedOn w:val="Normal"/>
    <w:uiPriority w:val="34"/>
    <w:qFormat/>
    <w:rsid w:val="006131F6"/>
    <w:pPr>
      <w:ind w:left="720"/>
      <w:contextualSpacing/>
    </w:pPr>
  </w:style>
  <w:style w:type="paragraph" w:styleId="FootnoteText">
    <w:name w:val="footnote text"/>
    <w:basedOn w:val="Normal"/>
    <w:link w:val="FootnoteTextChar"/>
    <w:uiPriority w:val="99"/>
    <w:semiHidden/>
    <w:unhideWhenUsed/>
    <w:rsid w:val="006131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31F6"/>
    <w:rPr>
      <w:sz w:val="20"/>
      <w:szCs w:val="20"/>
    </w:rPr>
  </w:style>
  <w:style w:type="character" w:styleId="FootnoteReference">
    <w:name w:val="footnote reference"/>
    <w:basedOn w:val="DefaultParagraphFont"/>
    <w:uiPriority w:val="99"/>
    <w:semiHidden/>
    <w:unhideWhenUsed/>
    <w:rsid w:val="006131F6"/>
    <w:rPr>
      <w:vertAlign w:val="superscript"/>
    </w:rPr>
  </w:style>
  <w:style w:type="character" w:styleId="Hyperlink">
    <w:name w:val="Hyperlink"/>
    <w:basedOn w:val="DefaultParagraphFont"/>
    <w:uiPriority w:val="99"/>
    <w:unhideWhenUsed/>
    <w:rsid w:val="008314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nlinelibrary.wiley.com/doi/epdf/10.1111/jopp.12032"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ley.thorold\OneDrive%20-%20RSA\Downloads\Branded%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244FA25EEDBA49A39AD765AE72657E" ma:contentTypeVersion="11" ma:contentTypeDescription="Create a new document." ma:contentTypeScope="" ma:versionID="e2432cfad3049ae59a71b934cbb2d4be">
  <xsd:schema xmlns:xsd="http://www.w3.org/2001/XMLSchema" xmlns:xs="http://www.w3.org/2001/XMLSchema" xmlns:p="http://schemas.microsoft.com/office/2006/metadata/properties" xmlns:ns2="20c0f4ba-ceee-465b-a03a-4c772840ec30" xmlns:ns3="1fd0f2a6-d266-4d65-be43-d471896a4870" targetNamespace="http://schemas.microsoft.com/office/2006/metadata/properties" ma:root="true" ma:fieldsID="a8df5eb31cf28c4b8e996b72ea2c4adb" ns2:_="" ns3:_="">
    <xsd:import namespace="20c0f4ba-ceee-465b-a03a-4c772840ec30"/>
    <xsd:import namespace="1fd0f2a6-d266-4d65-be43-d471896a48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0f4ba-ceee-465b-a03a-4c772840ec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0f2a6-d266-4d65-be43-d471896a487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fd0f2a6-d266-4d65-be43-d471896a4870">
      <UserInfo>
        <DisplayName>Liz Vinton</DisplayName>
        <AccountId>1204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159C9-F091-4276-9FE8-CB3068E7C0B2}">
  <ds:schemaRefs>
    <ds:schemaRef ds:uri="http://schemas.microsoft.com/sharepoint/v3/contenttype/forms"/>
  </ds:schemaRefs>
</ds:datastoreItem>
</file>

<file path=customXml/itemProps2.xml><?xml version="1.0" encoding="utf-8"?>
<ds:datastoreItem xmlns:ds="http://schemas.openxmlformats.org/officeDocument/2006/customXml" ds:itemID="{EA2ACCB7-D5A5-4E2A-8207-264C20C00A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0f4ba-ceee-465b-a03a-4c772840ec30"/>
    <ds:schemaRef ds:uri="1fd0f2a6-d266-4d65-be43-d471896a48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466291-AB62-465E-93B9-845A1A21DC6B}">
  <ds:schemaRefs>
    <ds:schemaRef ds:uri="http://schemas.microsoft.com/office/2006/metadata/properties"/>
    <ds:schemaRef ds:uri="http://schemas.microsoft.com/office/infopath/2007/PartnerControls"/>
    <ds:schemaRef ds:uri="1fd0f2a6-d266-4d65-be43-d471896a4870"/>
  </ds:schemaRefs>
</ds:datastoreItem>
</file>

<file path=customXml/itemProps4.xml><?xml version="1.0" encoding="utf-8"?>
<ds:datastoreItem xmlns:ds="http://schemas.openxmlformats.org/officeDocument/2006/customXml" ds:itemID="{BD3BB493-ED59-4C9F-A336-9C0D2D3A8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Branded Word Template</Template>
  <TotalTime>18</TotalTime>
  <Pages>3</Pages>
  <Words>1522</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Thorold</dc:creator>
  <cp:keywords/>
  <dc:description/>
  <cp:lastModifiedBy>Riley Thorold</cp:lastModifiedBy>
  <cp:revision>35</cp:revision>
  <dcterms:created xsi:type="dcterms:W3CDTF">2021-04-08T13:10:00Z</dcterms:created>
  <dcterms:modified xsi:type="dcterms:W3CDTF">2021-04-08T13:35:00Z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0x01010017244FA25EEDBA49A39AD765AE72657E</vt:lpwstr>
  </property>
</Properties>
</file>