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F0AA" w14:textId="55386C69" w:rsidR="002A6FA8" w:rsidRPr="00E80217" w:rsidRDefault="002A6FA8">
      <w:pPr>
        <w:rPr>
          <w:b/>
          <w:bCs/>
        </w:rPr>
      </w:pPr>
      <w:r w:rsidRPr="00E80217">
        <w:rPr>
          <w:b/>
          <w:bCs/>
        </w:rPr>
        <w:t>Submission to House of Lords Constitution Committee Inquiry on the Future Governance of the United Kingdom</w:t>
      </w:r>
    </w:p>
    <w:p w14:paraId="71CF496D" w14:textId="39DDF654" w:rsidR="00312827" w:rsidRDefault="00312827" w:rsidP="000A7C56">
      <w:r>
        <w:t xml:space="preserve">John Boswell, Roger </w:t>
      </w:r>
      <w:proofErr w:type="spellStart"/>
      <w:r>
        <w:t>Tyers</w:t>
      </w:r>
      <w:proofErr w:type="spellEnd"/>
      <w:r>
        <w:t xml:space="preserve">, Joshua </w:t>
      </w:r>
      <w:proofErr w:type="spellStart"/>
      <w:r>
        <w:t>Huckins</w:t>
      </w:r>
      <w:proofErr w:type="spellEnd"/>
      <w:r>
        <w:t xml:space="preserve"> and Public Policy Southampton</w:t>
      </w:r>
    </w:p>
    <w:p w14:paraId="133FC631" w14:textId="77777777" w:rsidR="00312827" w:rsidRDefault="00312827" w:rsidP="000A7C56"/>
    <w:p w14:paraId="39E740DF" w14:textId="199B94A3" w:rsidR="000A7C56" w:rsidRDefault="002A6FA8" w:rsidP="000A7C56">
      <w:r>
        <w:t xml:space="preserve">We welcome the Constitution Committee’s Inquiry on the Future Governance of the United Kingdom. These are crucial questions to ask in a period of declining trust in the efficacy and legitimacy of Britain’s governance arrangements. To restore this trust, </w:t>
      </w:r>
      <w:r w:rsidR="00312827">
        <w:t xml:space="preserve">we believe that </w:t>
      </w:r>
      <w:r>
        <w:t xml:space="preserve">citizens themselves must be at the heart of effort to rethink, reform and renew institutions and practices of power sharing, multi-level governance, and democratic accountability. </w:t>
      </w:r>
      <w:r w:rsidR="00451FC9">
        <w:t xml:space="preserve">Our submission draws directly on insights from </w:t>
      </w:r>
      <w:hyperlink r:id="rId5" w:history="1">
        <w:r w:rsidR="00451FC9" w:rsidRPr="00312827">
          <w:rPr>
            <w:rStyle w:val="Hyperlink"/>
          </w:rPr>
          <w:t>our recent report on innovative forms of citizen engagement in the UK</w:t>
        </w:r>
      </w:hyperlink>
      <w:r w:rsidR="00E80217">
        <w:t>.</w:t>
      </w:r>
      <w:r w:rsidR="00451FC9">
        <w:t xml:space="preserve"> </w:t>
      </w:r>
      <w:r w:rsidR="00451FC9" w:rsidRPr="00312827">
        <w:rPr>
          <w:u w:val="single"/>
        </w:rPr>
        <w:t>Our</w:t>
      </w:r>
      <w:r w:rsidRPr="00312827">
        <w:rPr>
          <w:u w:val="single"/>
        </w:rPr>
        <w:t xml:space="preserve"> big idea to address the</w:t>
      </w:r>
      <w:r w:rsidR="00E80217" w:rsidRPr="00312827">
        <w:rPr>
          <w:u w:val="single"/>
        </w:rPr>
        <w:t xml:space="preserve"> Committee’s</w:t>
      </w:r>
      <w:r w:rsidRPr="00312827">
        <w:rPr>
          <w:u w:val="single"/>
        </w:rPr>
        <w:t xml:space="preserve"> questions</w:t>
      </w:r>
      <w:r w:rsidR="00451FC9" w:rsidRPr="00312827">
        <w:rPr>
          <w:u w:val="single"/>
        </w:rPr>
        <w:t xml:space="preserve"> and tackle declining trust head-on</w:t>
      </w:r>
      <w:r w:rsidRPr="00312827">
        <w:rPr>
          <w:u w:val="single"/>
        </w:rPr>
        <w:t xml:space="preserve"> is to ask citizens </w:t>
      </w:r>
      <w:r w:rsidR="00451FC9" w:rsidRPr="00312827">
        <w:rPr>
          <w:u w:val="single"/>
        </w:rPr>
        <w:t xml:space="preserve">to take on the task </w:t>
      </w:r>
      <w:r w:rsidRPr="00312827">
        <w:rPr>
          <w:u w:val="single"/>
        </w:rPr>
        <w:t xml:space="preserve">themselves, through a dedicated </w:t>
      </w:r>
      <w:r w:rsidRPr="00312827">
        <w:rPr>
          <w:u w:val="single"/>
        </w:rPr>
        <w:t>Citizens’ Assembl</w:t>
      </w:r>
      <w:r w:rsidRPr="00312827">
        <w:rPr>
          <w:u w:val="single"/>
        </w:rPr>
        <w:t>y.</w:t>
      </w:r>
      <w:r w:rsidRPr="002A6FA8">
        <w:t xml:space="preserve"> </w:t>
      </w:r>
    </w:p>
    <w:p w14:paraId="1E8149CF" w14:textId="5052AFBB" w:rsidR="00451FC9" w:rsidRDefault="000A7C56" w:rsidP="000A7C56">
      <w:pPr>
        <w:pStyle w:val="ListParagraph"/>
        <w:numPr>
          <w:ilvl w:val="0"/>
          <w:numId w:val="1"/>
        </w:numPr>
      </w:pPr>
      <w:r w:rsidRPr="00312827">
        <w:rPr>
          <w:u w:val="single"/>
        </w:rPr>
        <w:t>A Citizens’ Assembly on Constitutional Reform would be feasible</w:t>
      </w:r>
      <w:r w:rsidRPr="00312827">
        <w:rPr>
          <w:b/>
          <w:bCs/>
        </w:rPr>
        <w:t>.</w:t>
      </w:r>
      <w:r>
        <w:t xml:space="preserve"> </w:t>
      </w:r>
      <w:r w:rsidR="002A6FA8" w:rsidRPr="002A6FA8">
        <w:t>C</w:t>
      </w:r>
      <w:r w:rsidR="002A6FA8">
        <w:t xml:space="preserve">itizens’ </w:t>
      </w:r>
      <w:r w:rsidR="002A6FA8" w:rsidRPr="002A6FA8">
        <w:t>A</w:t>
      </w:r>
      <w:r w:rsidR="002A6FA8">
        <w:t>ssemblies</w:t>
      </w:r>
      <w:r w:rsidR="002A6FA8" w:rsidRPr="002A6FA8">
        <w:t xml:space="preserve"> </w:t>
      </w:r>
      <w:r>
        <w:t>offer</w:t>
      </w:r>
      <w:r w:rsidR="002A6FA8" w:rsidRPr="002A6FA8">
        <w:t xml:space="preserve"> </w:t>
      </w:r>
      <w:proofErr w:type="spellStart"/>
      <w:r>
        <w:t>a</w:t>
      </w:r>
      <w:proofErr w:type="spellEnd"/>
      <w:r>
        <w:t xml:space="preserve"> proven method</w:t>
      </w:r>
      <w:r w:rsidR="002A6FA8" w:rsidRPr="002A6FA8">
        <w:t xml:space="preserve"> of </w:t>
      </w:r>
      <w:r w:rsidRPr="002A6FA8">
        <w:t>engag</w:t>
      </w:r>
      <w:r>
        <w:t>ing</w:t>
      </w:r>
      <w:r w:rsidRPr="002A6FA8">
        <w:t xml:space="preserve"> citizens </w:t>
      </w:r>
      <w:r>
        <w:t>to come up with</w:t>
      </w:r>
      <w:r w:rsidRPr="002A6FA8">
        <w:t xml:space="preserve"> creat</w:t>
      </w:r>
      <w:r>
        <w:t>iv</w:t>
      </w:r>
      <w:r w:rsidRPr="002A6FA8">
        <w:t>e solutions to some of the most challenging policy issues</w:t>
      </w:r>
      <w:r>
        <w:t xml:space="preserve"> and constitutional questions</w:t>
      </w:r>
      <w:r>
        <w:t xml:space="preserve">. They </w:t>
      </w:r>
      <w:proofErr w:type="gramStart"/>
      <w:r>
        <w:t>gather together</w:t>
      </w:r>
      <w:proofErr w:type="gramEnd"/>
      <w:r>
        <w:t xml:space="preserve"> up to </w:t>
      </w:r>
      <w:r w:rsidR="002A6FA8" w:rsidRPr="002A6FA8">
        <w:t xml:space="preserve">150 randomly selected citizens, </w:t>
      </w:r>
      <w:r>
        <w:t xml:space="preserve">who </w:t>
      </w:r>
      <w:r w:rsidR="002A6FA8" w:rsidRPr="002A6FA8">
        <w:t>represent a cross-section of the community,</w:t>
      </w:r>
      <w:r>
        <w:t xml:space="preserve"> and ask them</w:t>
      </w:r>
      <w:r w:rsidR="002A6FA8" w:rsidRPr="002A6FA8">
        <w:t xml:space="preserve"> to discus</w:t>
      </w:r>
      <w:r w:rsidR="00451FC9">
        <w:t>s</w:t>
      </w:r>
      <w:r w:rsidR="002A6FA8" w:rsidRPr="002A6FA8">
        <w:t xml:space="preserve"> complex and contested </w:t>
      </w:r>
      <w:r w:rsidR="00451FC9">
        <w:t xml:space="preserve">political </w:t>
      </w:r>
      <w:r w:rsidR="002A6FA8" w:rsidRPr="002A6FA8">
        <w:t>issue</w:t>
      </w:r>
      <w:r w:rsidR="00451FC9">
        <w:t>s</w:t>
      </w:r>
      <w:r w:rsidR="002A6FA8" w:rsidRPr="002A6FA8">
        <w:t xml:space="preserve">. </w:t>
      </w:r>
      <w:r>
        <w:t>They have been successfully trialled in places like Canada and Australia to address complex questions of constitutional reform.</w:t>
      </w:r>
    </w:p>
    <w:p w14:paraId="60F93FD9" w14:textId="77777777" w:rsidR="00451FC9" w:rsidRDefault="00451FC9" w:rsidP="00451FC9">
      <w:pPr>
        <w:pStyle w:val="ListParagraph"/>
      </w:pPr>
    </w:p>
    <w:p w14:paraId="5EE51015" w14:textId="38AE3544" w:rsidR="00451FC9" w:rsidRDefault="000A7C56" w:rsidP="000A7C56">
      <w:pPr>
        <w:pStyle w:val="ListParagraph"/>
        <w:numPr>
          <w:ilvl w:val="0"/>
          <w:numId w:val="1"/>
        </w:numPr>
      </w:pPr>
      <w:r w:rsidRPr="00312827">
        <w:rPr>
          <w:u w:val="single"/>
        </w:rPr>
        <w:t>A Citizens’ Assembly on Constitutional Reform would be timely</w:t>
      </w:r>
      <w:r w:rsidRPr="00312827">
        <w:rPr>
          <w:b/>
          <w:bCs/>
        </w:rPr>
        <w:t>.</w:t>
      </w:r>
      <w:r>
        <w:t xml:space="preserve"> </w:t>
      </w:r>
      <w:r w:rsidR="00451FC9">
        <w:t>Citizens’ Assemblies are an increasingly familiar</w:t>
      </w:r>
      <w:r>
        <w:t xml:space="preserve"> and popular</w:t>
      </w:r>
      <w:r w:rsidR="00451FC9">
        <w:t xml:space="preserve"> </w:t>
      </w:r>
      <w:r>
        <w:t>tool</w:t>
      </w:r>
      <w:r w:rsidR="00451FC9">
        <w:t xml:space="preserve"> in</w:t>
      </w:r>
      <w:r>
        <w:t xml:space="preserve"> innovation in </w:t>
      </w:r>
      <w:r w:rsidR="00451FC9">
        <w:t>the UK. In our re</w:t>
      </w:r>
      <w:r>
        <w:t>port</w:t>
      </w:r>
      <w:r w:rsidR="00451FC9">
        <w:t>, we find that a distinct blueprint and set of competencies ha</w:t>
      </w:r>
      <w:r>
        <w:t>s</w:t>
      </w:r>
      <w:r w:rsidR="00451FC9">
        <w:t xml:space="preserve"> emerged in </w:t>
      </w:r>
      <w:r>
        <w:t xml:space="preserve">just </w:t>
      </w:r>
      <w:r w:rsidR="00451FC9">
        <w:t>the last 5 years.</w:t>
      </w:r>
      <w:r w:rsidR="002A6FA8">
        <w:t xml:space="preserve"> </w:t>
      </w:r>
      <w:r w:rsidR="00451FC9" w:rsidRPr="002A6FA8">
        <w:t>C</w:t>
      </w:r>
      <w:r w:rsidR="00E80217">
        <w:t>itizens’ Assemblies</w:t>
      </w:r>
      <w:r w:rsidR="00451FC9">
        <w:t xml:space="preserve"> in the UK</w:t>
      </w:r>
      <w:r w:rsidR="00451FC9" w:rsidRPr="002A6FA8">
        <w:t xml:space="preserve"> operate within a consistent framework, cemented by the support of charities </w:t>
      </w:r>
      <w:r w:rsidR="00E80217">
        <w:t>and a rapidly developing democratic sector</w:t>
      </w:r>
      <w:r w:rsidR="00451FC9" w:rsidRPr="002A6FA8">
        <w:t>.</w:t>
      </w:r>
      <w:r w:rsidR="00E80217">
        <w:t xml:space="preserve"> In short, there is the expertise, </w:t>
      </w:r>
      <w:proofErr w:type="gramStart"/>
      <w:r w:rsidR="00E80217">
        <w:t>experience</w:t>
      </w:r>
      <w:proofErr w:type="gramEnd"/>
      <w:r w:rsidR="00E80217">
        <w:t xml:space="preserve"> and capacity to deliver a world-leading Citizens’ Assembly in the UK</w:t>
      </w:r>
      <w:r w:rsidR="00451FC9">
        <w:t>.</w:t>
      </w:r>
    </w:p>
    <w:p w14:paraId="14A6EB6B" w14:textId="77777777" w:rsidR="00451FC9" w:rsidRDefault="00451FC9" w:rsidP="00451FC9">
      <w:pPr>
        <w:pStyle w:val="ListParagraph"/>
      </w:pPr>
    </w:p>
    <w:p w14:paraId="2E73F618" w14:textId="07691F39" w:rsidR="00451FC9" w:rsidRDefault="000A7C56" w:rsidP="002A6FA8">
      <w:pPr>
        <w:pStyle w:val="ListParagraph"/>
        <w:numPr>
          <w:ilvl w:val="0"/>
          <w:numId w:val="1"/>
        </w:numPr>
      </w:pPr>
      <w:r w:rsidRPr="00312827">
        <w:rPr>
          <w:u w:val="single"/>
        </w:rPr>
        <w:t>A Citizens’ Assembly on Constitutional Reform would be high</w:t>
      </w:r>
      <w:r w:rsidR="00E80217" w:rsidRPr="00312827">
        <w:rPr>
          <w:u w:val="single"/>
        </w:rPr>
        <w:t>-</w:t>
      </w:r>
      <w:r w:rsidRPr="00312827">
        <w:rPr>
          <w:u w:val="single"/>
        </w:rPr>
        <w:t>profile</w:t>
      </w:r>
      <w:r w:rsidRPr="00312827">
        <w:rPr>
          <w:b/>
          <w:bCs/>
        </w:rPr>
        <w:t>.</w:t>
      </w:r>
      <w:r>
        <w:t xml:space="preserve"> </w:t>
      </w:r>
      <w:r w:rsidR="00451FC9">
        <w:t>We find that t</w:t>
      </w:r>
      <w:r w:rsidR="002A6FA8" w:rsidRPr="002A6FA8">
        <w:t>h</w:t>
      </w:r>
      <w:r>
        <w:t>e</w:t>
      </w:r>
      <w:r w:rsidR="00451FC9">
        <w:t xml:space="preserve"> so-called </w:t>
      </w:r>
      <w:r w:rsidR="002A6FA8" w:rsidRPr="002A6FA8">
        <w:t xml:space="preserve">#Delibwave </w:t>
      </w:r>
      <w:r>
        <w:t xml:space="preserve">of Citizens’ Assemblies </w:t>
      </w:r>
      <w:r w:rsidR="002A6FA8" w:rsidRPr="002A6FA8">
        <w:t>has had significant impact on public debate about British democracy</w:t>
      </w:r>
      <w:r w:rsidR="00451FC9">
        <w:t>.</w:t>
      </w:r>
      <w:r w:rsidR="002A6FA8" w:rsidRPr="002A6FA8">
        <w:t xml:space="preserve"> The increase in the use of C</w:t>
      </w:r>
      <w:r w:rsidR="00451FC9">
        <w:t>itizens’ Assemblies</w:t>
      </w:r>
      <w:r w:rsidR="002A6FA8" w:rsidRPr="002A6FA8">
        <w:t xml:space="preserve"> in Britain has led key actors in Parliament and the media to take notice of the effects that these participatory processes can have. The number of mentions of C</w:t>
      </w:r>
      <w:r w:rsidR="00451FC9">
        <w:t xml:space="preserve">itizens’ </w:t>
      </w:r>
      <w:r w:rsidR="002A6FA8" w:rsidRPr="002A6FA8">
        <w:t>As</w:t>
      </w:r>
      <w:r w:rsidR="00451FC9">
        <w:t>semblies</w:t>
      </w:r>
      <w:r w:rsidR="002A6FA8" w:rsidRPr="002A6FA8">
        <w:t xml:space="preserve"> within Parliament has dramatically risen since 2015. A similar pattern can also be identified from the number of mentions of C</w:t>
      </w:r>
      <w:r w:rsidR="00451FC9">
        <w:t>itizens’ Assemblies</w:t>
      </w:r>
      <w:r w:rsidR="002A6FA8" w:rsidRPr="002A6FA8">
        <w:t xml:space="preserve"> in the news and media. </w:t>
      </w:r>
    </w:p>
    <w:p w14:paraId="31B4C339" w14:textId="77777777" w:rsidR="00451FC9" w:rsidRDefault="00451FC9" w:rsidP="00451FC9">
      <w:pPr>
        <w:pStyle w:val="ListParagraph"/>
      </w:pPr>
    </w:p>
    <w:p w14:paraId="7C3869E5" w14:textId="615C7C6A" w:rsidR="00451FC9" w:rsidRDefault="00451FC9" w:rsidP="00E80217">
      <w:r>
        <w:t xml:space="preserve">However, </w:t>
      </w:r>
      <w:r w:rsidR="000A7C56">
        <w:t>we also find that</w:t>
      </w:r>
      <w:r w:rsidR="00E80217">
        <w:t xml:space="preserve"> the impact of </w:t>
      </w:r>
      <w:r>
        <w:t>Citizens’ Assemblies</w:t>
      </w:r>
      <w:r w:rsidR="002A6FA8" w:rsidRPr="002A6FA8">
        <w:t xml:space="preserve"> </w:t>
      </w:r>
      <w:r w:rsidR="00E80217">
        <w:t>on</w:t>
      </w:r>
      <w:r w:rsidR="002A6FA8" w:rsidRPr="002A6FA8">
        <w:t xml:space="preserve"> </w:t>
      </w:r>
      <w:r>
        <w:t>real-world</w:t>
      </w:r>
      <w:r w:rsidR="002A6FA8" w:rsidRPr="002A6FA8">
        <w:t xml:space="preserve"> outcomes</w:t>
      </w:r>
      <w:r w:rsidR="00312827">
        <w:t xml:space="preserve"> thus far</w:t>
      </w:r>
      <w:r w:rsidR="002A6FA8" w:rsidRPr="002A6FA8">
        <w:t xml:space="preserve"> remains piecemeal and partial</w:t>
      </w:r>
      <w:r>
        <w:t xml:space="preserve">. </w:t>
      </w:r>
      <w:r w:rsidR="002A6FA8" w:rsidRPr="002A6FA8">
        <w:t>In response to these findings, we recommend taking several steps to consolidate the progress made in the #Delibwav</w:t>
      </w:r>
      <w:r>
        <w:t xml:space="preserve">e, and to maximise the chances of </w:t>
      </w:r>
      <w:r w:rsidR="00E80217">
        <w:t>a</w:t>
      </w:r>
      <w:r>
        <w:t xml:space="preserve"> Citizens’ Assembly convened on Constitutional Reform with potential for meaningful impact</w:t>
      </w:r>
      <w:r w:rsidR="002A6FA8" w:rsidRPr="002A6FA8">
        <w:t>.</w:t>
      </w:r>
    </w:p>
    <w:p w14:paraId="2E933911" w14:textId="4841EF01" w:rsidR="00451FC9" w:rsidRDefault="00312827" w:rsidP="002A6FA8">
      <w:pPr>
        <w:pStyle w:val="ListParagraph"/>
        <w:numPr>
          <w:ilvl w:val="0"/>
          <w:numId w:val="1"/>
        </w:numPr>
      </w:pPr>
      <w:r>
        <w:rPr>
          <w:u w:val="single"/>
        </w:rPr>
        <w:t>A) I</w:t>
      </w:r>
      <w:r w:rsidR="00451FC9" w:rsidRPr="00312827">
        <w:rPr>
          <w:u w:val="single"/>
        </w:rPr>
        <w:t>ncreased</w:t>
      </w:r>
      <w:r w:rsidR="002A6FA8" w:rsidRPr="00312827">
        <w:rPr>
          <w:u w:val="single"/>
        </w:rPr>
        <w:t xml:space="preserve"> attention require</w:t>
      </w:r>
      <w:r w:rsidR="00E80217" w:rsidRPr="00312827">
        <w:rPr>
          <w:u w:val="single"/>
        </w:rPr>
        <w:t>s</w:t>
      </w:r>
      <w:r w:rsidR="002A6FA8" w:rsidRPr="00312827">
        <w:rPr>
          <w:u w:val="single"/>
        </w:rPr>
        <w:t xml:space="preserve"> </w:t>
      </w:r>
      <w:r w:rsidR="00E80217" w:rsidRPr="00312827">
        <w:rPr>
          <w:u w:val="single"/>
        </w:rPr>
        <w:t>significant</w:t>
      </w:r>
      <w:r w:rsidR="002A6FA8" w:rsidRPr="00312827">
        <w:rPr>
          <w:u w:val="single"/>
        </w:rPr>
        <w:t xml:space="preserve"> investment in robust methods</w:t>
      </w:r>
      <w:r w:rsidR="00E80217" w:rsidRPr="00312827">
        <w:rPr>
          <w:u w:val="single"/>
        </w:rPr>
        <w:t xml:space="preserve"> and practices, tapping into UK’s world-leading expertise in practice and research in this field</w:t>
      </w:r>
      <w:r w:rsidR="00451FC9" w:rsidRPr="00312827">
        <w:rPr>
          <w:u w:val="single"/>
        </w:rPr>
        <w:t>.</w:t>
      </w:r>
      <w:r w:rsidR="002A6FA8" w:rsidRPr="002A6FA8">
        <w:t xml:space="preserve"> </w:t>
      </w:r>
      <w:r w:rsidR="00722D18" w:rsidRPr="00722D18">
        <w:t>As C</w:t>
      </w:r>
      <w:r w:rsidR="00722D18">
        <w:t>itizens Assemblies in the UK have</w:t>
      </w:r>
      <w:r w:rsidR="00722D18" w:rsidRPr="00722D18">
        <w:t xml:space="preserve"> grow</w:t>
      </w:r>
      <w:r w:rsidR="00722D18">
        <w:t>n</w:t>
      </w:r>
      <w:r w:rsidR="00722D18" w:rsidRPr="00722D18">
        <w:t xml:space="preserve"> in number and prominence, they </w:t>
      </w:r>
      <w:r w:rsidR="00722D18">
        <w:t>have</w:t>
      </w:r>
      <w:r w:rsidR="00722D18" w:rsidRPr="00722D18">
        <w:t xml:space="preserve"> beg</w:t>
      </w:r>
      <w:r w:rsidR="00722D18">
        <w:t>un</w:t>
      </w:r>
      <w:r w:rsidR="00722D18" w:rsidRPr="00722D18">
        <w:t xml:space="preserve"> to attract more critical scrutiny and attention. Sound investment to uphold standards in deliberation time, methods of selection, and expert facilitation can ensure </w:t>
      </w:r>
      <w:r w:rsidR="00722D18">
        <w:t>an event is</w:t>
      </w:r>
      <w:r w:rsidR="00722D18" w:rsidRPr="00722D18">
        <w:t xml:space="preserve"> robust to common </w:t>
      </w:r>
      <w:proofErr w:type="gramStart"/>
      <w:r w:rsidR="00722D18" w:rsidRPr="00722D18">
        <w:t>criticisms</w:t>
      </w:r>
      <w:r w:rsidR="00722D18">
        <w:t>,</w:t>
      </w:r>
      <w:r w:rsidR="00E80217">
        <w:t xml:space="preserve"> and</w:t>
      </w:r>
      <w:proofErr w:type="gramEnd"/>
      <w:r w:rsidR="00E80217">
        <w:t xml:space="preserve"> gains widespread legitimacy</w:t>
      </w:r>
      <w:r w:rsidR="002A6FA8" w:rsidRPr="002A6FA8">
        <w:t>.</w:t>
      </w:r>
    </w:p>
    <w:p w14:paraId="6100FFF7" w14:textId="77777777" w:rsidR="00451FC9" w:rsidRDefault="00451FC9" w:rsidP="00451FC9">
      <w:pPr>
        <w:pStyle w:val="ListParagraph"/>
      </w:pPr>
    </w:p>
    <w:p w14:paraId="16CF32B9" w14:textId="2EB3FD8C" w:rsidR="00451FC9" w:rsidRDefault="00312827" w:rsidP="002A6FA8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B) </w:t>
      </w:r>
      <w:r w:rsidR="002A6FA8" w:rsidRPr="00312827">
        <w:rPr>
          <w:u w:val="single"/>
        </w:rPr>
        <w:t>C</w:t>
      </w:r>
      <w:r w:rsidR="00451FC9" w:rsidRPr="00312827">
        <w:rPr>
          <w:u w:val="single"/>
        </w:rPr>
        <w:t xml:space="preserve">itizens’ </w:t>
      </w:r>
      <w:r w:rsidR="002A6FA8" w:rsidRPr="00312827">
        <w:rPr>
          <w:u w:val="single"/>
        </w:rPr>
        <w:t>As</w:t>
      </w:r>
      <w:r w:rsidR="00451FC9" w:rsidRPr="00312827">
        <w:rPr>
          <w:u w:val="single"/>
        </w:rPr>
        <w:t>semblies</w:t>
      </w:r>
      <w:r w:rsidR="002A6FA8" w:rsidRPr="00312827">
        <w:rPr>
          <w:u w:val="single"/>
        </w:rPr>
        <w:t xml:space="preserve"> need buy-in from a diversity of stakeholders</w:t>
      </w:r>
      <w:r w:rsidR="00451FC9">
        <w:t>.</w:t>
      </w:r>
      <w:r w:rsidR="002A6FA8" w:rsidRPr="002A6FA8">
        <w:t xml:space="preserve"> Support from across the political spectrum, and from key stakeholders </w:t>
      </w:r>
      <w:r w:rsidR="000A7C56">
        <w:t>across the UK</w:t>
      </w:r>
      <w:r w:rsidR="002A6FA8" w:rsidRPr="002A6FA8">
        <w:t xml:space="preserve">, </w:t>
      </w:r>
      <w:r w:rsidR="00451FC9">
        <w:t>is</w:t>
      </w:r>
      <w:r w:rsidR="002A6FA8" w:rsidRPr="002A6FA8">
        <w:t xml:space="preserve"> crucial.</w:t>
      </w:r>
    </w:p>
    <w:p w14:paraId="25D99A22" w14:textId="77777777" w:rsidR="00451FC9" w:rsidRDefault="00451FC9" w:rsidP="00451FC9">
      <w:pPr>
        <w:pStyle w:val="ListParagraph"/>
      </w:pPr>
    </w:p>
    <w:p w14:paraId="0C50C7C8" w14:textId="1CDF45F9" w:rsidR="000A7C56" w:rsidRDefault="00312827" w:rsidP="002A6FA8">
      <w:pPr>
        <w:pStyle w:val="ListParagraph"/>
        <w:numPr>
          <w:ilvl w:val="0"/>
          <w:numId w:val="1"/>
        </w:numPr>
      </w:pPr>
      <w:r>
        <w:rPr>
          <w:u w:val="single"/>
        </w:rPr>
        <w:t>C) T</w:t>
      </w:r>
      <w:r w:rsidR="002A6FA8" w:rsidRPr="00312827">
        <w:rPr>
          <w:u w:val="single"/>
        </w:rPr>
        <w:t xml:space="preserve">here is a need to clarify the goals of </w:t>
      </w:r>
      <w:r w:rsidR="00451FC9" w:rsidRPr="00312827">
        <w:rPr>
          <w:u w:val="single"/>
        </w:rPr>
        <w:t>any Citizens’ Assembly</w:t>
      </w:r>
      <w:r w:rsidR="002A6FA8" w:rsidRPr="00312827">
        <w:rPr>
          <w:u w:val="single"/>
        </w:rPr>
        <w:t xml:space="preserve"> in </w:t>
      </w:r>
      <w:proofErr w:type="gramStart"/>
      <w:r w:rsidR="002A6FA8" w:rsidRPr="00312827">
        <w:rPr>
          <w:u w:val="single"/>
        </w:rPr>
        <w:t>advance, and</w:t>
      </w:r>
      <w:proofErr w:type="gramEnd"/>
      <w:r w:rsidR="002A6FA8" w:rsidRPr="00312827">
        <w:rPr>
          <w:u w:val="single"/>
        </w:rPr>
        <w:t xml:space="preserve"> connect </w:t>
      </w:r>
      <w:r w:rsidR="000A7C56" w:rsidRPr="00312827">
        <w:rPr>
          <w:u w:val="single"/>
        </w:rPr>
        <w:t>it</w:t>
      </w:r>
      <w:r w:rsidR="002A6FA8" w:rsidRPr="00312827">
        <w:rPr>
          <w:u w:val="single"/>
        </w:rPr>
        <w:t xml:space="preserve"> to deeper and broader forms of democratic participation</w:t>
      </w:r>
      <w:r w:rsidR="00451FC9">
        <w:t>.</w:t>
      </w:r>
      <w:r w:rsidR="00722D18">
        <w:t xml:space="preserve"> </w:t>
      </w:r>
      <w:r w:rsidR="00E80217">
        <w:t xml:space="preserve">In essence, a Citizens’ Assembly can </w:t>
      </w:r>
      <w:r w:rsidR="00722D18">
        <w:t xml:space="preserve">ideally </w:t>
      </w:r>
      <w:r w:rsidR="00E80217">
        <w:t xml:space="preserve">become a </w:t>
      </w:r>
      <w:r w:rsidR="00722D18">
        <w:t>key catalyst for transforming and progressing a wider public conversation – but it is not a ‘magic bullet’ to replace or forego that wider conversation.</w:t>
      </w:r>
    </w:p>
    <w:p w14:paraId="120CFE07" w14:textId="77777777" w:rsidR="000A7C56" w:rsidRDefault="000A7C56" w:rsidP="000A7C56">
      <w:pPr>
        <w:pStyle w:val="ListParagraph"/>
      </w:pPr>
    </w:p>
    <w:p w14:paraId="55A3437C" w14:textId="22FAB069" w:rsidR="002A6FA8" w:rsidRPr="002A6FA8" w:rsidRDefault="00312827" w:rsidP="002A6FA8">
      <w:pPr>
        <w:pStyle w:val="ListParagraph"/>
        <w:numPr>
          <w:ilvl w:val="0"/>
          <w:numId w:val="1"/>
        </w:numPr>
      </w:pPr>
      <w:r>
        <w:rPr>
          <w:u w:val="single"/>
        </w:rPr>
        <w:t>D) T</w:t>
      </w:r>
      <w:r w:rsidR="000A7C56" w:rsidRPr="00312827">
        <w:rPr>
          <w:u w:val="single"/>
        </w:rPr>
        <w:t xml:space="preserve">here is a need to follow through on </w:t>
      </w:r>
      <w:r w:rsidR="00722D18" w:rsidRPr="00312827">
        <w:rPr>
          <w:u w:val="single"/>
        </w:rPr>
        <w:t xml:space="preserve">citizen </w:t>
      </w:r>
      <w:r w:rsidR="000A7C56" w:rsidRPr="00312827">
        <w:rPr>
          <w:u w:val="single"/>
        </w:rPr>
        <w:t>recommendations and e</w:t>
      </w:r>
      <w:r w:rsidR="002A6FA8" w:rsidRPr="00312827">
        <w:rPr>
          <w:u w:val="single"/>
        </w:rPr>
        <w:t>valuat</w:t>
      </w:r>
      <w:r w:rsidR="00722D18" w:rsidRPr="00312827">
        <w:rPr>
          <w:u w:val="single"/>
        </w:rPr>
        <w:t>e</w:t>
      </w:r>
      <w:r w:rsidR="002A6FA8" w:rsidRPr="00312827">
        <w:rPr>
          <w:u w:val="single"/>
        </w:rPr>
        <w:t xml:space="preserve"> long-term impacts on </w:t>
      </w:r>
      <w:r w:rsidR="000A7C56" w:rsidRPr="00312827">
        <w:rPr>
          <w:u w:val="single"/>
        </w:rPr>
        <w:t>constitutional change</w:t>
      </w:r>
      <w:r w:rsidR="00722D18">
        <w:t xml:space="preserve">. </w:t>
      </w:r>
      <w:r w:rsidRPr="00722D18">
        <w:t xml:space="preserve">There is a risk that </w:t>
      </w:r>
      <w:r>
        <w:t>a Citizens’ Assembly on Constitutional Reform</w:t>
      </w:r>
      <w:r w:rsidRPr="00722D18">
        <w:t xml:space="preserve"> </w:t>
      </w:r>
      <w:r>
        <w:t xml:space="preserve">may </w:t>
      </w:r>
      <w:r w:rsidRPr="00722D18">
        <w:t xml:space="preserve">become </w:t>
      </w:r>
      <w:r>
        <w:t xml:space="preserve">a </w:t>
      </w:r>
      <w:r w:rsidRPr="00722D18">
        <w:t xml:space="preserve">‘feelgood’ one-off event. Taking steps to </w:t>
      </w:r>
      <w:r>
        <w:t>ensure ‘follow through’ will ensure the impact is more meaningful and lasting.</w:t>
      </w:r>
    </w:p>
    <w:p w14:paraId="0571A1CA" w14:textId="621B5909" w:rsidR="00722D18" w:rsidRDefault="00722D18" w:rsidP="00722D18">
      <w:r>
        <w:t xml:space="preserve">The submission draws on the key findings of our policy report, </w:t>
      </w:r>
      <w:r w:rsidRPr="00312827">
        <w:rPr>
          <w:i/>
          <w:iCs/>
        </w:rPr>
        <w:t>Assessing the #Delibwave in the UK</w:t>
      </w:r>
      <w:r w:rsidRPr="00312827">
        <w:rPr>
          <w:i/>
          <w:iCs/>
        </w:rPr>
        <w:t>: a report on the impact of Citizens’ Assemblies on British government</w:t>
      </w:r>
      <w:r>
        <w:t xml:space="preserve"> (available at this link</w:t>
      </w:r>
      <w:proofErr w:type="gramStart"/>
      <w:r>
        <w:t>: )</w:t>
      </w:r>
      <w:proofErr w:type="gramEnd"/>
      <w:r>
        <w:t>.</w:t>
      </w:r>
    </w:p>
    <w:p w14:paraId="079F8DE8" w14:textId="4E338FAD" w:rsidR="00722D18" w:rsidRPr="00312827" w:rsidRDefault="00722D18" w:rsidP="00722D18">
      <w:pPr>
        <w:rPr>
          <w:b/>
          <w:bCs/>
        </w:rPr>
      </w:pPr>
      <w:r w:rsidRPr="00312827">
        <w:rPr>
          <w:b/>
          <w:bCs/>
        </w:rPr>
        <w:t>Biographies</w:t>
      </w:r>
    </w:p>
    <w:p w14:paraId="2B1BBEC9" w14:textId="559B0452" w:rsidR="00722D18" w:rsidRDefault="00312827" w:rsidP="00722D18">
      <w:hyperlink r:id="rId6" w:history="1">
        <w:r w:rsidR="00722D18" w:rsidRPr="00312827">
          <w:rPr>
            <w:rStyle w:val="Hyperlink"/>
          </w:rPr>
          <w:t>John Boswell</w:t>
        </w:r>
      </w:hyperlink>
      <w:r w:rsidR="00722D18">
        <w:t xml:space="preserve"> is an Associate Professor in Politics at the University of Southampton. He is an expert on democratic innovation and public policy, with 3 books and over 30 peer-reviewed articles on these subjects in the last decade.</w:t>
      </w:r>
    </w:p>
    <w:p w14:paraId="32553EFA" w14:textId="77777777" w:rsidR="00312827" w:rsidRDefault="00722D18" w:rsidP="00722D18">
      <w:r>
        <w:t xml:space="preserve">Roger </w:t>
      </w:r>
      <w:proofErr w:type="spellStart"/>
      <w:r>
        <w:t>Tyers</w:t>
      </w:r>
      <w:proofErr w:type="spellEnd"/>
      <w:r>
        <w:t xml:space="preserve"> is a Research Analyst at the House of Commons Library, and a Visiting Fellow at the University of Nottingham. He </w:t>
      </w:r>
      <w:r w:rsidR="00312827">
        <w:t>has published academic papers and produced</w:t>
      </w:r>
      <w:r>
        <w:t xml:space="preserve"> policy-oriented analysis on climate change, transport policy</w:t>
      </w:r>
      <w:r w:rsidR="00312827">
        <w:t xml:space="preserve"> and citizen engagement.</w:t>
      </w:r>
    </w:p>
    <w:p w14:paraId="066F8E5C" w14:textId="77777777" w:rsidR="00312827" w:rsidRDefault="00312827" w:rsidP="00722D18">
      <w:r>
        <w:t xml:space="preserve">Joshua </w:t>
      </w:r>
      <w:proofErr w:type="spellStart"/>
      <w:r>
        <w:t>Huckins</w:t>
      </w:r>
      <w:proofErr w:type="spellEnd"/>
      <w:r>
        <w:t xml:space="preserve"> is a </w:t>
      </w:r>
      <w:proofErr w:type="gramStart"/>
      <w:r>
        <w:t>Masters in Public Administration student</w:t>
      </w:r>
      <w:proofErr w:type="gramEnd"/>
      <w:r>
        <w:t xml:space="preserve"> at the University of Southampton.</w:t>
      </w:r>
    </w:p>
    <w:p w14:paraId="5B42BF36" w14:textId="04975AC0" w:rsidR="00722D18" w:rsidRDefault="00312827" w:rsidP="00722D18">
      <w:r>
        <w:t xml:space="preserve">Public Policy Southampton is the University of Southampton’s key knowledge broker, with over </w:t>
      </w:r>
      <w:proofErr w:type="spellStart"/>
      <w:r>
        <w:t>a</w:t>
      </w:r>
      <w:proofErr w:type="spellEnd"/>
      <w:r>
        <w:t xml:space="preserve"> decade’s experience linking world-class research to the needs of government in the UK.</w:t>
      </w:r>
      <w:r w:rsidR="00722D18">
        <w:t xml:space="preserve"> </w:t>
      </w:r>
    </w:p>
    <w:p w14:paraId="01756D33" w14:textId="77777777" w:rsidR="00722D18" w:rsidRPr="00722D18" w:rsidRDefault="00722D18" w:rsidP="00722D18"/>
    <w:p w14:paraId="34AEFD3A" w14:textId="735875A2" w:rsidR="00722D18" w:rsidRDefault="00722D18"/>
    <w:sectPr w:rsidR="0072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1ED"/>
    <w:multiLevelType w:val="hybridMultilevel"/>
    <w:tmpl w:val="E5C6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A8"/>
    <w:rsid w:val="000A7C56"/>
    <w:rsid w:val="001019FD"/>
    <w:rsid w:val="002A6FA8"/>
    <w:rsid w:val="00312827"/>
    <w:rsid w:val="00451FC9"/>
    <w:rsid w:val="00621850"/>
    <w:rsid w:val="00722D18"/>
    <w:rsid w:val="00946AEF"/>
    <w:rsid w:val="00E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79DD"/>
  <w15:chartTrackingRefBased/>
  <w15:docId w15:val="{8C220308-06EF-4A50-9381-BB6B7D36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thampton.ac.uk/politics/about/staff/jcb1y12.page" TargetMode="External"/><Relationship Id="rId5" Type="http://schemas.openxmlformats.org/officeDocument/2006/relationships/hyperlink" Target="https://www.southampton.ac.uk/publicpolicy/support-for-policymakers/policy-projects/john-bosswell-citizen-assembly.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Boswell</dc:creator>
  <cp:keywords/>
  <dc:description/>
  <cp:lastModifiedBy>John Boswell</cp:lastModifiedBy>
  <cp:revision>1</cp:revision>
  <dcterms:created xsi:type="dcterms:W3CDTF">2021-04-19T13:43:00Z</dcterms:created>
  <dcterms:modified xsi:type="dcterms:W3CDTF">2021-04-19T14:47:00Z</dcterms:modified>
</cp:coreProperties>
</file>